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C6" w:rsidRPr="001E79A0" w:rsidRDefault="007F6CC6" w:rsidP="007F6CC6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7F6CC6" w:rsidRDefault="007F6CC6" w:rsidP="007F6CC6">
      <w:pPr>
        <w:spacing w:line="200" w:lineRule="atLeast"/>
        <w:ind w:firstLine="567"/>
        <w:jc w:val="both"/>
        <w:rPr>
          <w:sz w:val="28"/>
          <w:szCs w:val="28"/>
        </w:rPr>
      </w:pPr>
    </w:p>
    <w:p w:rsidR="007F6CC6" w:rsidRPr="001E79A0" w:rsidRDefault="007F6CC6" w:rsidP="00411E32">
      <w:pPr>
        <w:pStyle w:val="aa"/>
        <w:numPr>
          <w:ilvl w:val="0"/>
          <w:numId w:val="12"/>
        </w:numPr>
        <w:spacing w:line="200" w:lineRule="atLeast"/>
        <w:ind w:left="0" w:firstLine="709"/>
        <w:jc w:val="center"/>
        <w:rPr>
          <w:b/>
          <w:bCs/>
          <w:sz w:val="24"/>
          <w:szCs w:val="24"/>
          <w:lang w:bidi="ru-RU"/>
        </w:rPr>
      </w:pPr>
      <w:bookmarkStart w:id="0" w:name="bookmark1"/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bookmarkEnd w:id="0"/>
      <w:proofErr w:type="gramEnd"/>
      <w:r w:rsidRPr="001E79A0">
        <w:rPr>
          <w:b/>
          <w:bCs/>
          <w:sz w:val="24"/>
          <w:szCs w:val="24"/>
          <w:lang w:bidi="ru-RU"/>
        </w:rPr>
        <w:t xml:space="preserve"> установленные в МО «г. Тетюши» Тетюшского муниципального района</w:t>
      </w:r>
    </w:p>
    <w:p w:rsidR="007F6CC6" w:rsidRPr="001E79A0" w:rsidRDefault="007F6CC6" w:rsidP="00411E32">
      <w:pPr>
        <w:pStyle w:val="5"/>
        <w:spacing w:after="120"/>
        <w:ind w:firstLine="709"/>
      </w:pPr>
      <w:r w:rsidRPr="001E79A0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1E79A0">
        <w:rPr>
          <w:lang w:bidi="ru-RU"/>
        </w:rPr>
        <w:t>должны соответствовать показателям нижеприведенной таблицы</w:t>
      </w:r>
      <w:r w:rsidRPr="001E79A0">
        <w:t>:</w:t>
      </w:r>
    </w:p>
    <w:tbl>
      <w:tblPr>
        <w:tblStyle w:val="ab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7F6CC6" w:rsidRPr="00D3190A" w:rsidTr="007D5F7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 xml:space="preserve">Код </w:t>
            </w:r>
            <w:r w:rsidRPr="00D3190A">
              <w:rPr>
                <w:b/>
                <w:bCs/>
              </w:rPr>
              <w:t xml:space="preserve">вида </w:t>
            </w:r>
            <w:proofErr w:type="gramStart"/>
            <w:r w:rsidRPr="00D3190A">
              <w:rPr>
                <w:b/>
                <w:bCs/>
              </w:rPr>
              <w:t>разрешен-</w:t>
            </w:r>
            <w:proofErr w:type="spellStart"/>
            <w:r w:rsidRPr="00D3190A">
              <w:rPr>
                <w:b/>
                <w:bCs/>
              </w:rPr>
              <w:t>ного</w:t>
            </w:r>
            <w:proofErr w:type="spellEnd"/>
            <w:proofErr w:type="gramEnd"/>
            <w:r w:rsidRPr="00D3190A">
              <w:rPr>
                <w:b/>
                <w:bCs/>
              </w:rPr>
              <w:t xml:space="preserve"> </w:t>
            </w:r>
            <w:proofErr w:type="spellStart"/>
            <w:r w:rsidRPr="00D3190A">
              <w:rPr>
                <w:b/>
                <w:bCs/>
              </w:rPr>
              <w:t>использо-вания</w:t>
            </w:r>
            <w:proofErr w:type="spellEnd"/>
            <w:r w:rsidRPr="00D3190A">
              <w:rPr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  <w:r w:rsidRPr="00D3190A">
              <w:rPr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7F6CC6" w:rsidRPr="00D3190A" w:rsidTr="007D5F75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максимальный процент застройки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минимальные отступы от границ земельных участков</w:t>
            </w:r>
          </w:p>
        </w:tc>
      </w:tr>
      <w:tr w:rsidR="007F6CC6" w:rsidRPr="00D3190A" w:rsidTr="007D5F7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3190A" w:rsidRDefault="007F6CC6" w:rsidP="007D5F75">
            <w:pPr>
              <w:tabs>
                <w:tab w:val="num" w:pos="0"/>
              </w:tabs>
              <w:spacing w:line="216" w:lineRule="auto"/>
              <w:rPr>
                <w:b/>
              </w:rPr>
            </w:pPr>
            <w:r>
              <w:rPr>
                <w:b/>
              </w:rPr>
              <w:t>Основные виды разрешенного использования</w:t>
            </w:r>
          </w:p>
        </w:tc>
      </w:tr>
      <w:tr w:rsidR="007F6CC6" w:rsidRPr="00D3190A" w:rsidTr="007D5F75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bookmarkStart w:id="1" w:name="_GoBack" w:colFirst="4" w:colLast="4"/>
            <w:r w:rsidRPr="00DF4868"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>минимальный – 600 кв. м;</w:t>
            </w:r>
          </w:p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>максимальный – 5000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t>мансардный</w:t>
            </w:r>
            <w:proofErr w:type="gramEnd"/>
            <w:r w:rsidRPr="00DF4868">
              <w:t>), вспомогательных строений - 1;</w:t>
            </w:r>
          </w:p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F4868" w:rsidRDefault="007F6CC6" w:rsidP="00411E32">
            <w:pPr>
              <w:tabs>
                <w:tab w:val="num" w:pos="0"/>
              </w:tabs>
              <w:spacing w:line="18" w:lineRule="atLeast"/>
              <w:jc w:val="center"/>
            </w:pPr>
            <w:r w:rsidRPr="00DF4868">
              <w:t>20 %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>для сторон земельного участка, выходящих к улично-дорожной сети - 3 м;</w:t>
            </w:r>
          </w:p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</w:pPr>
            <w:r w:rsidRPr="00DF4868">
              <w:t>для иных сторон земельного участка -  не устанавливаются.</w:t>
            </w:r>
          </w:p>
          <w:p w:rsidR="007F6CC6" w:rsidRPr="00DF4868" w:rsidRDefault="007F6CC6" w:rsidP="007D5F75">
            <w:pPr>
              <w:tabs>
                <w:tab w:val="num" w:pos="0"/>
              </w:tabs>
              <w:spacing w:line="18" w:lineRule="atLeast"/>
              <w:rPr>
                <w:b/>
              </w:rPr>
            </w:pPr>
            <w:r w:rsidRPr="00DF4868"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7F6CC6" w:rsidRPr="00D3190A" w:rsidTr="00EB3B6C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</w:tcPr>
          <w:p w:rsidR="007F6CC6" w:rsidRPr="00ED7952" w:rsidRDefault="007F6CC6" w:rsidP="00B8421D">
            <w:r w:rsidRPr="00ED7952">
              <w:t>6.0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F6CC6" w:rsidRPr="00ED7952" w:rsidRDefault="007F6CC6" w:rsidP="00B8421D">
            <w:r w:rsidRPr="00ED7952">
              <w:t>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</w:tcPr>
          <w:p w:rsidR="007F6CC6" w:rsidRPr="00ED7952" w:rsidRDefault="007F6CC6" w:rsidP="00B8421D">
            <w:r w:rsidRPr="00ED7952">
              <w:t xml:space="preserve">не </w:t>
            </w:r>
            <w:proofErr w:type="spellStart"/>
            <w:proofErr w:type="gramStart"/>
            <w:r w:rsidRPr="00ED7952"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7F6CC6" w:rsidRPr="00ED7952" w:rsidRDefault="007F6CC6" w:rsidP="00B8421D">
            <w:r w:rsidRPr="00ED7952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7F6CC6" w:rsidRPr="00ED7952" w:rsidRDefault="007F6CC6" w:rsidP="00411E32">
            <w:pPr>
              <w:jc w:val="center"/>
            </w:pPr>
            <w:r w:rsidRPr="00ED7952">
              <w:t>80 %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7F6CC6" w:rsidRDefault="007F6CC6" w:rsidP="00B8421D">
            <w:r w:rsidRPr="00ED7952">
              <w:t>не устанавливаются</w:t>
            </w:r>
          </w:p>
        </w:tc>
      </w:tr>
      <w:bookmarkEnd w:id="1"/>
    </w:tbl>
    <w:p w:rsidR="007F6CC6" w:rsidRDefault="007F6CC6" w:rsidP="00411E32">
      <w:pPr>
        <w:pStyle w:val="aa"/>
        <w:spacing w:line="200" w:lineRule="atLeast"/>
        <w:ind w:left="0" w:firstLine="709"/>
        <w:jc w:val="center"/>
        <w:rPr>
          <w:b/>
          <w:bCs/>
          <w:sz w:val="28"/>
          <w:szCs w:val="28"/>
          <w:lang w:bidi="ru-RU"/>
        </w:rPr>
      </w:pPr>
    </w:p>
    <w:p w:rsidR="007F6CC6" w:rsidRDefault="007F6CC6" w:rsidP="00411E32">
      <w:pPr>
        <w:pStyle w:val="af"/>
        <w:ind w:firstLine="709"/>
        <w:rPr>
          <w:rStyle w:val="ac"/>
          <w:rFonts w:ascii="Times New Roman" w:hAnsi="Times New Roman"/>
          <w:color w:val="auto"/>
        </w:rPr>
      </w:pPr>
    </w:p>
    <w:p w:rsidR="007F6CC6" w:rsidRPr="001E79A0" w:rsidRDefault="007F6CC6" w:rsidP="00411E32">
      <w:pPr>
        <w:spacing w:line="200" w:lineRule="atLeast"/>
        <w:ind w:firstLine="709"/>
        <w:jc w:val="center"/>
        <w:rPr>
          <w:b/>
          <w:sz w:val="24"/>
          <w:szCs w:val="24"/>
        </w:rPr>
      </w:pPr>
      <w:r w:rsidRPr="001E79A0">
        <w:rPr>
          <w:b/>
          <w:sz w:val="24"/>
          <w:szCs w:val="24"/>
        </w:rPr>
        <w:t>2.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и о плате за подключение:</w:t>
      </w:r>
    </w:p>
    <w:p w:rsidR="003948B9" w:rsidRPr="001E79A0" w:rsidRDefault="003948B9" w:rsidP="007F6CC6">
      <w:pPr>
        <w:spacing w:line="200" w:lineRule="atLeast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3444"/>
        <w:gridCol w:w="3544"/>
        <w:gridCol w:w="3260"/>
      </w:tblGrid>
      <w:tr w:rsidR="000D31AB" w:rsidRPr="000E0739" w:rsidTr="00411E32">
        <w:tc>
          <w:tcPr>
            <w:tcW w:w="775" w:type="dxa"/>
          </w:tcPr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 xml:space="preserve">№ </w:t>
            </w:r>
          </w:p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>Лота</w:t>
            </w:r>
          </w:p>
        </w:tc>
        <w:tc>
          <w:tcPr>
            <w:tcW w:w="3444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электроснабжения</w:t>
            </w:r>
          </w:p>
        </w:tc>
        <w:tc>
          <w:tcPr>
            <w:tcW w:w="3544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газоснабжения</w:t>
            </w:r>
          </w:p>
        </w:tc>
        <w:tc>
          <w:tcPr>
            <w:tcW w:w="3260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водоснабжения</w:t>
            </w:r>
          </w:p>
        </w:tc>
      </w:tr>
      <w:tr w:rsidR="00A428AE" w:rsidRPr="000E0739" w:rsidTr="00411E32">
        <w:trPr>
          <w:trHeight w:val="579"/>
        </w:trPr>
        <w:tc>
          <w:tcPr>
            <w:tcW w:w="775" w:type="dxa"/>
          </w:tcPr>
          <w:p w:rsidR="00A428AE" w:rsidRDefault="00A428AE" w:rsidP="00446D57">
            <w:pPr>
              <w:jc w:val="center"/>
            </w:pPr>
            <w:r>
              <w:t>36</w:t>
            </w:r>
          </w:p>
        </w:tc>
        <w:tc>
          <w:tcPr>
            <w:tcW w:w="3444" w:type="dxa"/>
          </w:tcPr>
          <w:p w:rsidR="00A428AE" w:rsidRPr="00C02538" w:rsidRDefault="00DF62D3" w:rsidP="00DF62D3">
            <w:pPr>
              <w:jc w:val="center"/>
            </w:pPr>
            <w:proofErr w:type="gramStart"/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</w:t>
            </w:r>
            <w:r>
              <w:t>тка с кадастровым номером 16:38</w:t>
            </w:r>
            <w:r w:rsidRPr="00C02538">
              <w:t>:</w:t>
            </w:r>
            <w:r>
              <w:t>350110:410</w:t>
            </w:r>
            <w:r w:rsidRPr="00C02538">
              <w:t xml:space="preserve">, расположенного в </w:t>
            </w:r>
            <w:r>
              <w:t>г. Тетюши, ул. Серебрякова, д. 56, фидер №1 ВЛ-0,4</w:t>
            </w:r>
            <w:r w:rsidRPr="00C02538">
              <w:t xml:space="preserve">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</w:t>
            </w:r>
            <w:r>
              <w:t xml:space="preserve">КТП №471 ВЛ-10кВ №2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  <w:proofErr w:type="gramEnd"/>
          </w:p>
        </w:tc>
        <w:tc>
          <w:tcPr>
            <w:tcW w:w="3544" w:type="dxa"/>
          </w:tcPr>
          <w:p w:rsidR="00D82845" w:rsidRDefault="00D82845" w:rsidP="00D82845">
            <w:pPr>
              <w:jc w:val="center"/>
            </w:pPr>
            <w:r>
              <w:t>16:38:350110:410</w:t>
            </w:r>
          </w:p>
          <w:p w:rsidR="00A428AE" w:rsidRDefault="00D82845" w:rsidP="00D82845">
            <w:pPr>
              <w:jc w:val="center"/>
            </w:pPr>
            <w:r>
              <w:t xml:space="preserve">земли населенных пунктов, для индивидуального жилищного строительства, по адресу: РТ, Тетюшский район, г. Тетюши, ул. Серебрякова, д. 56, предполагаемая точка подключения газопровод низкого давления Д225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956 м. Срок подключения объекта 2 года. Срок действия технических условий 2 года 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>
              <w:t>тп</w:t>
            </w:r>
            <w:proofErr w:type="spellEnd"/>
            <w:r>
              <w:t xml:space="preserve">  «Об установлении размеров стандартизированных тарифных ставок, определяющих величину платы за техническое присоединение </w:t>
            </w:r>
            <w:r>
              <w:lastRenderedPageBreak/>
              <w:t>газоиспользующего оборудования к сетям газораспределения ООО «ГТК»</w:t>
            </w:r>
          </w:p>
        </w:tc>
        <w:tc>
          <w:tcPr>
            <w:tcW w:w="3260" w:type="dxa"/>
          </w:tcPr>
          <w:p w:rsidR="00A428AE" w:rsidRDefault="000A20E0" w:rsidP="00772A6B">
            <w:pPr>
              <w:jc w:val="center"/>
            </w:pPr>
            <w:r>
              <w:lastRenderedPageBreak/>
              <w:t>Проектом предусмотрено</w:t>
            </w:r>
            <w:r w:rsidR="00DF62D3">
              <w:t xml:space="preserve"> подключение к существующему </w:t>
            </w:r>
            <w:r w:rsidR="00D82845">
              <w:t>водопроводу</w:t>
            </w:r>
            <w:r w:rsidR="00DF62D3">
              <w:t xml:space="preserve"> Ф110 по адресу ул. Новаторов. В ко</w:t>
            </w:r>
            <w:r>
              <w:t>лодцах подключения предусмотрена установка</w:t>
            </w:r>
            <w:r w:rsidR="00DF62D3">
              <w:t xml:space="preserve"> отключающей арматуры </w:t>
            </w:r>
            <w:proofErr w:type="gramStart"/>
            <w:r w:rsidR="00DF62D3">
              <w:t>согласно</w:t>
            </w:r>
            <w:proofErr w:type="gramEnd"/>
            <w:r w:rsidR="00DF62D3">
              <w:t xml:space="preserve"> действующих нормативов. Место расположения колодца и диаме</w:t>
            </w:r>
            <w:r>
              <w:t>тр водопроводной сети определяется</w:t>
            </w:r>
            <w:r w:rsidR="00DF62D3">
              <w:t xml:space="preserve"> проектом. Давление в точке подключения</w:t>
            </w:r>
            <w:r>
              <w:t xml:space="preserve"> 0,3 Мпа. Проектом предусмотрена установка</w:t>
            </w:r>
            <w:r w:rsidR="00DF62D3">
              <w:t xml:space="preserve"> индивидуального узла учета потребляемой воды.</w:t>
            </w:r>
            <w:r w:rsidR="00073D56">
              <w:t xml:space="preserve"> Кан</w:t>
            </w:r>
            <w:r>
              <w:t>ализация: Проектом предусмотрена выгребная яма</w:t>
            </w:r>
            <w:r w:rsidR="00073D56">
              <w:t>. Настоящие технические условия действительны в течени</w:t>
            </w:r>
            <w:proofErr w:type="gramStart"/>
            <w:r w:rsidR="00073D56">
              <w:t>и</w:t>
            </w:r>
            <w:proofErr w:type="gramEnd"/>
            <w:r w:rsidR="00073D56">
              <w:t xml:space="preserve"> одного года с момента выдачи тех. условий.</w:t>
            </w:r>
          </w:p>
        </w:tc>
      </w:tr>
      <w:tr w:rsidR="00A428AE" w:rsidRPr="000E0739" w:rsidTr="00411E32">
        <w:trPr>
          <w:trHeight w:val="579"/>
        </w:trPr>
        <w:tc>
          <w:tcPr>
            <w:tcW w:w="775" w:type="dxa"/>
          </w:tcPr>
          <w:p w:rsidR="00A428AE" w:rsidRDefault="00A428AE" w:rsidP="00446D57">
            <w:pPr>
              <w:jc w:val="center"/>
            </w:pPr>
            <w:r>
              <w:lastRenderedPageBreak/>
              <w:t>37</w:t>
            </w:r>
          </w:p>
        </w:tc>
        <w:tc>
          <w:tcPr>
            <w:tcW w:w="3444" w:type="dxa"/>
          </w:tcPr>
          <w:p w:rsidR="00A428AE" w:rsidRPr="00C02538" w:rsidRDefault="00DF62D3" w:rsidP="003915F9">
            <w:pPr>
              <w:jc w:val="center"/>
            </w:pPr>
            <w:proofErr w:type="gramStart"/>
            <w:r w:rsidRPr="00DF62D3">
              <w:t>Ближайший центр питания в рамках осуществления технологического присоединения при условии заявленной максимальной мощности 15 кВт, III категории надежности электроснабжения, уровне напряжения 0,38кВ, для земельного участка с када</w:t>
            </w:r>
            <w:r>
              <w:t>стровым номером 16:38:350110:406</w:t>
            </w:r>
            <w:r w:rsidRPr="00DF62D3">
              <w:t>, расположенного в г</w:t>
            </w:r>
            <w:r>
              <w:t>. Тетюши, ул. Серебрякова, д. 52</w:t>
            </w:r>
            <w:r w:rsidRPr="00DF62D3">
              <w:t xml:space="preserve">, фидер №1 ВЛ-0,4 </w:t>
            </w:r>
            <w:proofErr w:type="spellStart"/>
            <w:r w:rsidRPr="00DF62D3">
              <w:t>кВ</w:t>
            </w:r>
            <w:proofErr w:type="spellEnd"/>
            <w:r w:rsidRPr="00DF62D3">
              <w:t xml:space="preserve"> КТП №471 ВЛ-10кВ №2 ПС 110 </w:t>
            </w:r>
            <w:proofErr w:type="spellStart"/>
            <w:r w:rsidRPr="00DF62D3">
              <w:t>кВ</w:t>
            </w:r>
            <w:proofErr w:type="spellEnd"/>
            <w:r w:rsidRPr="00DF62D3">
              <w:t xml:space="preserve"> Тетюши</w:t>
            </w:r>
            <w:proofErr w:type="gramEnd"/>
          </w:p>
        </w:tc>
        <w:tc>
          <w:tcPr>
            <w:tcW w:w="3544" w:type="dxa"/>
          </w:tcPr>
          <w:p w:rsidR="00D82845" w:rsidRDefault="00D82845" w:rsidP="00D82845">
            <w:pPr>
              <w:jc w:val="center"/>
            </w:pPr>
            <w:r>
              <w:t>16:38:350110:406</w:t>
            </w:r>
          </w:p>
          <w:p w:rsidR="00D82845" w:rsidRDefault="00D82845" w:rsidP="00D82845">
            <w:pPr>
              <w:jc w:val="center"/>
            </w:pPr>
            <w:r>
              <w:t>земли населенных пунктов</w:t>
            </w:r>
          </w:p>
          <w:p w:rsidR="00A428AE" w:rsidRDefault="00D82845" w:rsidP="00D82845">
            <w:pPr>
              <w:jc w:val="center"/>
            </w:pPr>
            <w:r>
              <w:t xml:space="preserve">индивидуального жилищного строительства, по адресу: РТ, Тетюшский район, г. Тетюши, ул. Серебрякова, д. 52, предполагаемая точка подключения газопровод низкого давления Д225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896 м. Срок подключения объекта 2 года. Срок действия технических условий 2 года 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>
              <w:t>тп</w:t>
            </w:r>
            <w:proofErr w:type="spellEnd"/>
            <w:r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3260" w:type="dxa"/>
          </w:tcPr>
          <w:p w:rsidR="00A428AE" w:rsidRDefault="000A20E0" w:rsidP="00772A6B">
            <w:pPr>
              <w:jc w:val="center"/>
            </w:pPr>
            <w:r>
              <w:t>Проектом предусмотрено</w:t>
            </w:r>
            <w:r w:rsidR="00073D56" w:rsidRPr="00073D56">
              <w:t xml:space="preserve"> подключение к существующему </w:t>
            </w:r>
            <w:r w:rsidR="00D82845" w:rsidRPr="00073D56">
              <w:t>водопроводу</w:t>
            </w:r>
            <w:r w:rsidR="00073D56" w:rsidRPr="00073D56">
              <w:t xml:space="preserve"> Ф110 по адресу ул. Новаторов. В колодц</w:t>
            </w:r>
            <w:r>
              <w:t>ах подключения предусмотрена установка</w:t>
            </w:r>
            <w:r w:rsidR="00073D56" w:rsidRPr="00073D56">
              <w:t xml:space="preserve"> отключающей арматуры </w:t>
            </w:r>
            <w:proofErr w:type="gramStart"/>
            <w:r w:rsidR="00073D56" w:rsidRPr="00073D56">
              <w:t>согласно</w:t>
            </w:r>
            <w:proofErr w:type="gramEnd"/>
            <w:r w:rsidR="00073D56" w:rsidRPr="00073D56">
              <w:t xml:space="preserve"> действующих нормативов. Место расположения колодца и диаме</w:t>
            </w:r>
            <w:r>
              <w:t>тр водопроводной сети определяется</w:t>
            </w:r>
            <w:r w:rsidR="00073D56" w:rsidRPr="00073D56">
              <w:t xml:space="preserve"> проектом. Давление в точке подключения </w:t>
            </w:r>
            <w:r>
              <w:t>0,3 Мпа. Проектом предусмотрена установка</w:t>
            </w:r>
            <w:r w:rsidR="00073D56" w:rsidRPr="00073D56">
              <w:t xml:space="preserve"> индивидуального узла учета потребляемой воды. Кан</w:t>
            </w:r>
            <w:r>
              <w:t>ализация: Проектом предусмотрена выгребная яма</w:t>
            </w:r>
            <w:r w:rsidR="00073D56" w:rsidRPr="00073D56">
              <w:t>. Настоящие технические условия действительны в течени</w:t>
            </w:r>
            <w:proofErr w:type="gramStart"/>
            <w:r w:rsidR="00073D56" w:rsidRPr="00073D56">
              <w:t>и</w:t>
            </w:r>
            <w:proofErr w:type="gramEnd"/>
            <w:r w:rsidR="00073D56" w:rsidRPr="00073D56">
              <w:t xml:space="preserve"> одного года с момента выдачи тех. условий.</w:t>
            </w:r>
          </w:p>
        </w:tc>
      </w:tr>
      <w:tr w:rsidR="00A428AE" w:rsidRPr="000E0739" w:rsidTr="00411E32">
        <w:trPr>
          <w:trHeight w:val="579"/>
        </w:trPr>
        <w:tc>
          <w:tcPr>
            <w:tcW w:w="775" w:type="dxa"/>
          </w:tcPr>
          <w:p w:rsidR="00A428AE" w:rsidRDefault="00A428AE" w:rsidP="00446D57">
            <w:pPr>
              <w:jc w:val="center"/>
            </w:pPr>
            <w:r>
              <w:t>38</w:t>
            </w:r>
          </w:p>
        </w:tc>
        <w:tc>
          <w:tcPr>
            <w:tcW w:w="3444" w:type="dxa"/>
          </w:tcPr>
          <w:p w:rsidR="00A428AE" w:rsidRPr="00C02538" w:rsidRDefault="00411E32" w:rsidP="003915F9">
            <w:pPr>
              <w:jc w:val="center"/>
            </w:pPr>
            <w:r>
              <w:t>Ближайший центр</w:t>
            </w:r>
            <w:r w:rsidRPr="00411E32">
              <w:t xml:space="preserve"> питания в рамках осуществления технологического присоединения при условии заявленной максимальной мощности 15кВт, III категории надежности электроснабжения, уровне напряжения 0,38кВ, для земельного участка, расположенного по адресу: Республика Татарстан, Тетюшский муниципальный район, МО «г Тетюши», г. Тетюши, ул. Горького, з/у 56Л, с кадастровым номером 16:38:010402:909, является </w:t>
            </w:r>
            <w:proofErr w:type="gramStart"/>
            <w:r w:rsidRPr="00411E32">
              <w:t>ВЛ</w:t>
            </w:r>
            <w:proofErr w:type="gramEnd"/>
            <w:r w:rsidRPr="00411E32">
              <w:t xml:space="preserve"> 0,4 </w:t>
            </w:r>
            <w:proofErr w:type="spellStart"/>
            <w:r w:rsidRPr="00411E32">
              <w:t>кВ</w:t>
            </w:r>
            <w:proofErr w:type="spellEnd"/>
            <w:r w:rsidRPr="00411E32">
              <w:t xml:space="preserve"> № 1 КТП 469 от ВЛ 10кВ № 14 ПС Тетюши</w:t>
            </w:r>
          </w:p>
        </w:tc>
        <w:tc>
          <w:tcPr>
            <w:tcW w:w="3544" w:type="dxa"/>
          </w:tcPr>
          <w:p w:rsidR="00A428AE" w:rsidRDefault="00A428AE" w:rsidP="00374EB8">
            <w:pPr>
              <w:jc w:val="center"/>
            </w:pPr>
            <w:r>
              <w:t>Производственная деятельность</w:t>
            </w:r>
            <w:r w:rsidRPr="00A428AE">
              <w:t>, на земельном участке с кадастровым номером 16:38:</w:t>
            </w:r>
            <w:r>
              <w:t>010402:909</w:t>
            </w:r>
            <w:r w:rsidRPr="00A428AE">
              <w:t xml:space="preserve"> расположенном по адресу: РТ, Тетюшский район, </w:t>
            </w:r>
            <w:r>
              <w:t>МО «Тетюши», г. Тетюши, ул. Горького, з/у 56Л</w:t>
            </w:r>
            <w:r w:rsidRPr="00A428AE">
              <w:t>, имеется возможность от газ</w:t>
            </w:r>
            <w:r>
              <w:t>опровода высокого давления д.159</w:t>
            </w:r>
            <w:r w:rsidRPr="00A428AE">
              <w:t xml:space="preserve"> мм, </w:t>
            </w:r>
            <w:r w:rsidR="00374EB8">
              <w:t>Срок подключения объекта 1,5</w:t>
            </w:r>
            <w:r w:rsidRPr="00A428AE">
              <w:t xml:space="preserve"> года. Сро</w:t>
            </w:r>
            <w:r w:rsidR="00374EB8">
              <w:t>к действия технических условий 1,5</w:t>
            </w:r>
            <w:r w:rsidRPr="00A428AE">
              <w:t xml:space="preserve"> года 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</w:t>
            </w:r>
            <w:r w:rsidR="00374EB8">
              <w:t>05.11.2020</w:t>
            </w:r>
            <w:r w:rsidRPr="00A428AE">
              <w:t xml:space="preserve"> № </w:t>
            </w:r>
            <w:r w:rsidR="00374EB8">
              <w:t>148-104/тп-2020</w:t>
            </w:r>
            <w:r w:rsidRPr="00A428AE">
              <w:t xml:space="preserve"> «Об установлении размеров стандартизированных тарифных ставок, определяющих величину платы за </w:t>
            </w:r>
            <w:r w:rsidR="00374EB8" w:rsidRPr="00A428AE">
              <w:t>техн</w:t>
            </w:r>
            <w:r w:rsidR="00374EB8">
              <w:t>ологическое</w:t>
            </w:r>
            <w:r w:rsidRPr="00A428AE">
              <w:t xml:space="preserve"> присоединение газоиспользующего оборудования к сетям газораспределения ООО «ГТК»</w:t>
            </w:r>
          </w:p>
        </w:tc>
        <w:tc>
          <w:tcPr>
            <w:tcW w:w="3260" w:type="dxa"/>
          </w:tcPr>
          <w:p w:rsidR="00A428AE" w:rsidRDefault="00C93EB6" w:rsidP="00C93EB6">
            <w:pPr>
              <w:jc w:val="center"/>
            </w:pPr>
            <w:r>
              <w:t>Проектом предусмотрено</w:t>
            </w:r>
            <w:r w:rsidRPr="00073D56">
              <w:t xml:space="preserve"> подключение к существующему водопроводу Ф110 по адресу ул. </w:t>
            </w:r>
            <w:proofErr w:type="spellStart"/>
            <w:r>
              <w:t>М.Горького</w:t>
            </w:r>
            <w:proofErr w:type="spellEnd"/>
            <w:r w:rsidRPr="00073D56">
              <w:t>. В колодц</w:t>
            </w:r>
            <w:r>
              <w:t>е подключения и на водопроводе предусмотрена установка</w:t>
            </w:r>
            <w:r w:rsidRPr="00073D56">
              <w:t xml:space="preserve"> отключающей арматуры </w:t>
            </w:r>
            <w:proofErr w:type="gramStart"/>
            <w:r w:rsidRPr="00073D56">
              <w:t>согласно</w:t>
            </w:r>
            <w:proofErr w:type="gramEnd"/>
            <w:r w:rsidRPr="00073D56">
              <w:t xml:space="preserve"> действующих нормативов. Место расположения колодца и диаме</w:t>
            </w:r>
            <w:r>
              <w:t>тр водопроводной сети определяется</w:t>
            </w:r>
            <w:r w:rsidRPr="00073D56">
              <w:t xml:space="preserve"> проектом. Давление в точке подключения </w:t>
            </w:r>
            <w:r>
              <w:t xml:space="preserve">0,3-0,4 Мпа. </w:t>
            </w:r>
            <w:r w:rsidRPr="00073D56">
              <w:t>Кан</w:t>
            </w:r>
            <w:r>
              <w:t>ализация: Проектом предусмотрена выгребная яма</w:t>
            </w:r>
            <w:r w:rsidRPr="00073D56">
              <w:t>. Настоящие технические условия действительны в течени</w:t>
            </w:r>
            <w:proofErr w:type="gramStart"/>
            <w:r w:rsidRPr="00073D56">
              <w:t>и</w:t>
            </w:r>
            <w:proofErr w:type="gramEnd"/>
            <w:r w:rsidRPr="00073D56">
              <w:t xml:space="preserve"> одного года с момента выдачи тех. условий.</w:t>
            </w:r>
          </w:p>
        </w:tc>
      </w:tr>
    </w:tbl>
    <w:p w:rsidR="00FE1E8E" w:rsidRPr="000E0739" w:rsidRDefault="00FE1E8E" w:rsidP="0024172E"/>
    <w:sectPr w:rsidR="00FE1E8E" w:rsidRPr="000E0739" w:rsidSect="00411E32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9E" w:rsidRDefault="0081229E" w:rsidP="00385B62">
      <w:r>
        <w:separator/>
      </w:r>
    </w:p>
  </w:endnote>
  <w:endnote w:type="continuationSeparator" w:id="0">
    <w:p w:rsidR="0081229E" w:rsidRDefault="0081229E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9E" w:rsidRDefault="0081229E" w:rsidP="00385B62">
      <w:r>
        <w:separator/>
      </w:r>
    </w:p>
  </w:footnote>
  <w:footnote w:type="continuationSeparator" w:id="0">
    <w:p w:rsidR="0081229E" w:rsidRDefault="0081229E" w:rsidP="0038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4AAD01F9"/>
    <w:multiLevelType w:val="hybridMultilevel"/>
    <w:tmpl w:val="D032AE10"/>
    <w:lvl w:ilvl="0" w:tplc="9416B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007B8"/>
    <w:rsid w:val="0001151F"/>
    <w:rsid w:val="00015C95"/>
    <w:rsid w:val="00020DE4"/>
    <w:rsid w:val="00025C56"/>
    <w:rsid w:val="00027E50"/>
    <w:rsid w:val="00030B29"/>
    <w:rsid w:val="000409D3"/>
    <w:rsid w:val="000608CA"/>
    <w:rsid w:val="000722D0"/>
    <w:rsid w:val="00073D56"/>
    <w:rsid w:val="00087953"/>
    <w:rsid w:val="00097EB9"/>
    <w:rsid w:val="000A0797"/>
    <w:rsid w:val="000A20E0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456C"/>
    <w:rsid w:val="000E5EAA"/>
    <w:rsid w:val="000F56DD"/>
    <w:rsid w:val="001140C9"/>
    <w:rsid w:val="00125A68"/>
    <w:rsid w:val="0013128E"/>
    <w:rsid w:val="00141C38"/>
    <w:rsid w:val="0014471F"/>
    <w:rsid w:val="001459F6"/>
    <w:rsid w:val="001469D7"/>
    <w:rsid w:val="00146C1B"/>
    <w:rsid w:val="0016112E"/>
    <w:rsid w:val="00181CF2"/>
    <w:rsid w:val="00182F65"/>
    <w:rsid w:val="00185612"/>
    <w:rsid w:val="0019105B"/>
    <w:rsid w:val="00192D95"/>
    <w:rsid w:val="001A06BC"/>
    <w:rsid w:val="001A13F8"/>
    <w:rsid w:val="001A4C2E"/>
    <w:rsid w:val="001A4F45"/>
    <w:rsid w:val="001B18B6"/>
    <w:rsid w:val="001D3342"/>
    <w:rsid w:val="001D3C36"/>
    <w:rsid w:val="001E4D99"/>
    <w:rsid w:val="001E5DAA"/>
    <w:rsid w:val="001E79A0"/>
    <w:rsid w:val="002101A7"/>
    <w:rsid w:val="0021575C"/>
    <w:rsid w:val="00216A25"/>
    <w:rsid w:val="00217B3B"/>
    <w:rsid w:val="002337F7"/>
    <w:rsid w:val="00234A3A"/>
    <w:rsid w:val="00241183"/>
    <w:rsid w:val="002411AD"/>
    <w:rsid w:val="0024172E"/>
    <w:rsid w:val="002442FF"/>
    <w:rsid w:val="00245F8F"/>
    <w:rsid w:val="00252D05"/>
    <w:rsid w:val="002619F8"/>
    <w:rsid w:val="002646FC"/>
    <w:rsid w:val="002654D2"/>
    <w:rsid w:val="00271615"/>
    <w:rsid w:val="002751C0"/>
    <w:rsid w:val="002772FB"/>
    <w:rsid w:val="00280A6E"/>
    <w:rsid w:val="0028559A"/>
    <w:rsid w:val="00285D99"/>
    <w:rsid w:val="002935AF"/>
    <w:rsid w:val="00296256"/>
    <w:rsid w:val="0029696C"/>
    <w:rsid w:val="002977E0"/>
    <w:rsid w:val="002A42B2"/>
    <w:rsid w:val="002D6BE0"/>
    <w:rsid w:val="002E0C3F"/>
    <w:rsid w:val="002F4DB7"/>
    <w:rsid w:val="002F6EC4"/>
    <w:rsid w:val="003170FC"/>
    <w:rsid w:val="0031740D"/>
    <w:rsid w:val="003205E4"/>
    <w:rsid w:val="00321F52"/>
    <w:rsid w:val="0032206A"/>
    <w:rsid w:val="003243EB"/>
    <w:rsid w:val="00331C27"/>
    <w:rsid w:val="00333EF7"/>
    <w:rsid w:val="003373C0"/>
    <w:rsid w:val="00341290"/>
    <w:rsid w:val="003432A4"/>
    <w:rsid w:val="00355A07"/>
    <w:rsid w:val="00361759"/>
    <w:rsid w:val="00362D83"/>
    <w:rsid w:val="003638DF"/>
    <w:rsid w:val="00370172"/>
    <w:rsid w:val="00370962"/>
    <w:rsid w:val="00374B31"/>
    <w:rsid w:val="00374EB8"/>
    <w:rsid w:val="0038355B"/>
    <w:rsid w:val="00385B62"/>
    <w:rsid w:val="0039007F"/>
    <w:rsid w:val="003915F9"/>
    <w:rsid w:val="003948B9"/>
    <w:rsid w:val="003A7E51"/>
    <w:rsid w:val="003C1F70"/>
    <w:rsid w:val="003C1FD3"/>
    <w:rsid w:val="003C2B83"/>
    <w:rsid w:val="003D1B37"/>
    <w:rsid w:val="003D4135"/>
    <w:rsid w:val="003D4BC3"/>
    <w:rsid w:val="003D4C52"/>
    <w:rsid w:val="003D5051"/>
    <w:rsid w:val="003E1D79"/>
    <w:rsid w:val="003E2F56"/>
    <w:rsid w:val="003E4C44"/>
    <w:rsid w:val="003F3E29"/>
    <w:rsid w:val="00400B0A"/>
    <w:rsid w:val="00405CB2"/>
    <w:rsid w:val="00407B9B"/>
    <w:rsid w:val="00411E32"/>
    <w:rsid w:val="00414241"/>
    <w:rsid w:val="00423E8B"/>
    <w:rsid w:val="0042589C"/>
    <w:rsid w:val="00426F25"/>
    <w:rsid w:val="00434BEC"/>
    <w:rsid w:val="00446D57"/>
    <w:rsid w:val="00450F33"/>
    <w:rsid w:val="00451226"/>
    <w:rsid w:val="0045556D"/>
    <w:rsid w:val="004565E5"/>
    <w:rsid w:val="0046121F"/>
    <w:rsid w:val="00466B0A"/>
    <w:rsid w:val="0048560E"/>
    <w:rsid w:val="004A223C"/>
    <w:rsid w:val="004A2E5A"/>
    <w:rsid w:val="004A5424"/>
    <w:rsid w:val="004B1D98"/>
    <w:rsid w:val="004B370A"/>
    <w:rsid w:val="004B3E63"/>
    <w:rsid w:val="004B44CE"/>
    <w:rsid w:val="004B560D"/>
    <w:rsid w:val="004C311F"/>
    <w:rsid w:val="004D5AE0"/>
    <w:rsid w:val="004D74EC"/>
    <w:rsid w:val="004E61EE"/>
    <w:rsid w:val="00501216"/>
    <w:rsid w:val="0050759D"/>
    <w:rsid w:val="005117D8"/>
    <w:rsid w:val="00515466"/>
    <w:rsid w:val="00517CD7"/>
    <w:rsid w:val="00525982"/>
    <w:rsid w:val="0053015A"/>
    <w:rsid w:val="00532D6B"/>
    <w:rsid w:val="005336A0"/>
    <w:rsid w:val="00535116"/>
    <w:rsid w:val="00537391"/>
    <w:rsid w:val="00551FB8"/>
    <w:rsid w:val="00555229"/>
    <w:rsid w:val="00562E18"/>
    <w:rsid w:val="00564416"/>
    <w:rsid w:val="00565698"/>
    <w:rsid w:val="00567B5B"/>
    <w:rsid w:val="005709BB"/>
    <w:rsid w:val="0057151B"/>
    <w:rsid w:val="00581655"/>
    <w:rsid w:val="005832F3"/>
    <w:rsid w:val="00586193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0229"/>
    <w:rsid w:val="005F1BCE"/>
    <w:rsid w:val="005F2A0E"/>
    <w:rsid w:val="005F4CED"/>
    <w:rsid w:val="0060428B"/>
    <w:rsid w:val="006119D1"/>
    <w:rsid w:val="00613279"/>
    <w:rsid w:val="00614CAC"/>
    <w:rsid w:val="0064112D"/>
    <w:rsid w:val="00642F5F"/>
    <w:rsid w:val="00647C1B"/>
    <w:rsid w:val="00652DAD"/>
    <w:rsid w:val="006538E9"/>
    <w:rsid w:val="006620D9"/>
    <w:rsid w:val="00666C83"/>
    <w:rsid w:val="0067262B"/>
    <w:rsid w:val="0067267F"/>
    <w:rsid w:val="006848D0"/>
    <w:rsid w:val="0069061D"/>
    <w:rsid w:val="00691B4D"/>
    <w:rsid w:val="00692D1D"/>
    <w:rsid w:val="006A7B5C"/>
    <w:rsid w:val="006B154B"/>
    <w:rsid w:val="006B460B"/>
    <w:rsid w:val="006B49BF"/>
    <w:rsid w:val="006B501B"/>
    <w:rsid w:val="006C38D8"/>
    <w:rsid w:val="006D067D"/>
    <w:rsid w:val="006D2398"/>
    <w:rsid w:val="006D4A57"/>
    <w:rsid w:val="006D4C88"/>
    <w:rsid w:val="006E2AA4"/>
    <w:rsid w:val="006E6B31"/>
    <w:rsid w:val="006F037F"/>
    <w:rsid w:val="007002B2"/>
    <w:rsid w:val="007011CD"/>
    <w:rsid w:val="00704B82"/>
    <w:rsid w:val="00711632"/>
    <w:rsid w:val="00724AD4"/>
    <w:rsid w:val="00726671"/>
    <w:rsid w:val="007301B1"/>
    <w:rsid w:val="00730D3A"/>
    <w:rsid w:val="00735C2B"/>
    <w:rsid w:val="00740128"/>
    <w:rsid w:val="00741704"/>
    <w:rsid w:val="007419DC"/>
    <w:rsid w:val="007427D1"/>
    <w:rsid w:val="00743BE8"/>
    <w:rsid w:val="007454D5"/>
    <w:rsid w:val="007551AB"/>
    <w:rsid w:val="00767D9E"/>
    <w:rsid w:val="00772807"/>
    <w:rsid w:val="00773638"/>
    <w:rsid w:val="00774B17"/>
    <w:rsid w:val="007957A9"/>
    <w:rsid w:val="007971EF"/>
    <w:rsid w:val="007A57A2"/>
    <w:rsid w:val="007A7DD6"/>
    <w:rsid w:val="007B311E"/>
    <w:rsid w:val="007C1C8B"/>
    <w:rsid w:val="007C415F"/>
    <w:rsid w:val="007C4967"/>
    <w:rsid w:val="007C7835"/>
    <w:rsid w:val="007D1727"/>
    <w:rsid w:val="007D1FA5"/>
    <w:rsid w:val="007E5B2E"/>
    <w:rsid w:val="007F1268"/>
    <w:rsid w:val="007F28CB"/>
    <w:rsid w:val="007F314E"/>
    <w:rsid w:val="007F6CC6"/>
    <w:rsid w:val="007F7F69"/>
    <w:rsid w:val="00800D30"/>
    <w:rsid w:val="00807DF4"/>
    <w:rsid w:val="008104E5"/>
    <w:rsid w:val="0081229E"/>
    <w:rsid w:val="008122B2"/>
    <w:rsid w:val="008126FB"/>
    <w:rsid w:val="0083239C"/>
    <w:rsid w:val="008343D7"/>
    <w:rsid w:val="00834E09"/>
    <w:rsid w:val="00850973"/>
    <w:rsid w:val="00851571"/>
    <w:rsid w:val="00852533"/>
    <w:rsid w:val="00861E96"/>
    <w:rsid w:val="00886818"/>
    <w:rsid w:val="00890CB4"/>
    <w:rsid w:val="00890F7C"/>
    <w:rsid w:val="00895963"/>
    <w:rsid w:val="00896F00"/>
    <w:rsid w:val="008A5580"/>
    <w:rsid w:val="008A6678"/>
    <w:rsid w:val="008C2C54"/>
    <w:rsid w:val="008C51D2"/>
    <w:rsid w:val="008C6BEC"/>
    <w:rsid w:val="008D1EE1"/>
    <w:rsid w:val="008E26D5"/>
    <w:rsid w:val="008F43B3"/>
    <w:rsid w:val="00902B77"/>
    <w:rsid w:val="0090687B"/>
    <w:rsid w:val="009107FB"/>
    <w:rsid w:val="00910E30"/>
    <w:rsid w:val="009127D1"/>
    <w:rsid w:val="0092218C"/>
    <w:rsid w:val="00923A85"/>
    <w:rsid w:val="00926855"/>
    <w:rsid w:val="00931AA1"/>
    <w:rsid w:val="00933596"/>
    <w:rsid w:val="009352CB"/>
    <w:rsid w:val="00936A4F"/>
    <w:rsid w:val="00937D26"/>
    <w:rsid w:val="009402C1"/>
    <w:rsid w:val="00954541"/>
    <w:rsid w:val="00954F40"/>
    <w:rsid w:val="00964ABF"/>
    <w:rsid w:val="00970923"/>
    <w:rsid w:val="009813B4"/>
    <w:rsid w:val="009857EC"/>
    <w:rsid w:val="00986A02"/>
    <w:rsid w:val="0099248B"/>
    <w:rsid w:val="009936CD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25C5"/>
    <w:rsid w:val="009F2AF2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170"/>
    <w:rsid w:val="00A146B7"/>
    <w:rsid w:val="00A17B3C"/>
    <w:rsid w:val="00A26311"/>
    <w:rsid w:val="00A2676E"/>
    <w:rsid w:val="00A304E9"/>
    <w:rsid w:val="00A32F8B"/>
    <w:rsid w:val="00A33827"/>
    <w:rsid w:val="00A34F25"/>
    <w:rsid w:val="00A34F97"/>
    <w:rsid w:val="00A36D3C"/>
    <w:rsid w:val="00A428AE"/>
    <w:rsid w:val="00A43D0F"/>
    <w:rsid w:val="00A452BA"/>
    <w:rsid w:val="00A475A1"/>
    <w:rsid w:val="00A54F28"/>
    <w:rsid w:val="00A55428"/>
    <w:rsid w:val="00A61B5C"/>
    <w:rsid w:val="00A70F8B"/>
    <w:rsid w:val="00A72E44"/>
    <w:rsid w:val="00A74D45"/>
    <w:rsid w:val="00A818EB"/>
    <w:rsid w:val="00A843B8"/>
    <w:rsid w:val="00A85745"/>
    <w:rsid w:val="00A87996"/>
    <w:rsid w:val="00A91D97"/>
    <w:rsid w:val="00AB14CF"/>
    <w:rsid w:val="00AC4988"/>
    <w:rsid w:val="00AC677A"/>
    <w:rsid w:val="00AC6C35"/>
    <w:rsid w:val="00AD1FAC"/>
    <w:rsid w:val="00AD40F4"/>
    <w:rsid w:val="00AD67A9"/>
    <w:rsid w:val="00AD702F"/>
    <w:rsid w:val="00AD720F"/>
    <w:rsid w:val="00AD77A0"/>
    <w:rsid w:val="00AD7B1C"/>
    <w:rsid w:val="00AE76C1"/>
    <w:rsid w:val="00AF1EEA"/>
    <w:rsid w:val="00B00255"/>
    <w:rsid w:val="00B0066F"/>
    <w:rsid w:val="00B02D13"/>
    <w:rsid w:val="00B04F2B"/>
    <w:rsid w:val="00B07140"/>
    <w:rsid w:val="00B14C14"/>
    <w:rsid w:val="00B16C65"/>
    <w:rsid w:val="00B2163E"/>
    <w:rsid w:val="00B227F1"/>
    <w:rsid w:val="00B25E93"/>
    <w:rsid w:val="00B2744B"/>
    <w:rsid w:val="00B4029C"/>
    <w:rsid w:val="00B43669"/>
    <w:rsid w:val="00B52699"/>
    <w:rsid w:val="00B56565"/>
    <w:rsid w:val="00B623DC"/>
    <w:rsid w:val="00B65833"/>
    <w:rsid w:val="00B71EF0"/>
    <w:rsid w:val="00B75108"/>
    <w:rsid w:val="00B758C9"/>
    <w:rsid w:val="00B81C2A"/>
    <w:rsid w:val="00B832A2"/>
    <w:rsid w:val="00B86202"/>
    <w:rsid w:val="00B86EC3"/>
    <w:rsid w:val="00B97D57"/>
    <w:rsid w:val="00BA0B2B"/>
    <w:rsid w:val="00BA2CD5"/>
    <w:rsid w:val="00BA588D"/>
    <w:rsid w:val="00BB3963"/>
    <w:rsid w:val="00BC00C3"/>
    <w:rsid w:val="00BC0E92"/>
    <w:rsid w:val="00BC377C"/>
    <w:rsid w:val="00BD1F11"/>
    <w:rsid w:val="00BD38E8"/>
    <w:rsid w:val="00BD7295"/>
    <w:rsid w:val="00BE19D8"/>
    <w:rsid w:val="00BE2403"/>
    <w:rsid w:val="00BE46E4"/>
    <w:rsid w:val="00BE4A3C"/>
    <w:rsid w:val="00BE54B7"/>
    <w:rsid w:val="00BF0ED0"/>
    <w:rsid w:val="00BF1F36"/>
    <w:rsid w:val="00BF3160"/>
    <w:rsid w:val="00BF51D0"/>
    <w:rsid w:val="00C013CB"/>
    <w:rsid w:val="00C015A9"/>
    <w:rsid w:val="00C15DCA"/>
    <w:rsid w:val="00C1704A"/>
    <w:rsid w:val="00C2096B"/>
    <w:rsid w:val="00C20DA8"/>
    <w:rsid w:val="00C21BF6"/>
    <w:rsid w:val="00C23CBA"/>
    <w:rsid w:val="00C35C0E"/>
    <w:rsid w:val="00C41D2C"/>
    <w:rsid w:val="00C45493"/>
    <w:rsid w:val="00C52A3A"/>
    <w:rsid w:val="00C62DEB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71D0"/>
    <w:rsid w:val="00C87BFF"/>
    <w:rsid w:val="00C93EB6"/>
    <w:rsid w:val="00C94531"/>
    <w:rsid w:val="00C95D7A"/>
    <w:rsid w:val="00CA0431"/>
    <w:rsid w:val="00CA1D67"/>
    <w:rsid w:val="00CA72D7"/>
    <w:rsid w:val="00CC0FA7"/>
    <w:rsid w:val="00CC19A1"/>
    <w:rsid w:val="00CC27DB"/>
    <w:rsid w:val="00CC2BDB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520F2"/>
    <w:rsid w:val="00D52973"/>
    <w:rsid w:val="00D57D18"/>
    <w:rsid w:val="00D62A35"/>
    <w:rsid w:val="00D63A6F"/>
    <w:rsid w:val="00D65005"/>
    <w:rsid w:val="00D71B47"/>
    <w:rsid w:val="00D82845"/>
    <w:rsid w:val="00D8316E"/>
    <w:rsid w:val="00D83E2E"/>
    <w:rsid w:val="00D83E64"/>
    <w:rsid w:val="00D843C4"/>
    <w:rsid w:val="00D87AE1"/>
    <w:rsid w:val="00D94025"/>
    <w:rsid w:val="00DA1437"/>
    <w:rsid w:val="00DA387F"/>
    <w:rsid w:val="00DA5FC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DF5BFD"/>
    <w:rsid w:val="00DF62D3"/>
    <w:rsid w:val="00E00EC0"/>
    <w:rsid w:val="00E02C7A"/>
    <w:rsid w:val="00E05170"/>
    <w:rsid w:val="00E16F25"/>
    <w:rsid w:val="00E22A6E"/>
    <w:rsid w:val="00E24E8F"/>
    <w:rsid w:val="00E251AE"/>
    <w:rsid w:val="00E32836"/>
    <w:rsid w:val="00E33FED"/>
    <w:rsid w:val="00E36C6F"/>
    <w:rsid w:val="00E412A1"/>
    <w:rsid w:val="00E431BE"/>
    <w:rsid w:val="00E45165"/>
    <w:rsid w:val="00E500EF"/>
    <w:rsid w:val="00E62E31"/>
    <w:rsid w:val="00E62E87"/>
    <w:rsid w:val="00E647D2"/>
    <w:rsid w:val="00E6514C"/>
    <w:rsid w:val="00E66A07"/>
    <w:rsid w:val="00E674D5"/>
    <w:rsid w:val="00E67722"/>
    <w:rsid w:val="00E721D8"/>
    <w:rsid w:val="00E75DE2"/>
    <w:rsid w:val="00E76A1E"/>
    <w:rsid w:val="00E817B7"/>
    <w:rsid w:val="00E9224A"/>
    <w:rsid w:val="00E95BD1"/>
    <w:rsid w:val="00EA00C1"/>
    <w:rsid w:val="00EA3C42"/>
    <w:rsid w:val="00EA64D7"/>
    <w:rsid w:val="00EA6F80"/>
    <w:rsid w:val="00EA7F10"/>
    <w:rsid w:val="00EB0526"/>
    <w:rsid w:val="00EB63C8"/>
    <w:rsid w:val="00ED0FA7"/>
    <w:rsid w:val="00ED484D"/>
    <w:rsid w:val="00ED4C15"/>
    <w:rsid w:val="00EF2B82"/>
    <w:rsid w:val="00EF4672"/>
    <w:rsid w:val="00EF7FB3"/>
    <w:rsid w:val="00F112C2"/>
    <w:rsid w:val="00F16FD0"/>
    <w:rsid w:val="00F24493"/>
    <w:rsid w:val="00F24863"/>
    <w:rsid w:val="00F2616A"/>
    <w:rsid w:val="00F32616"/>
    <w:rsid w:val="00F36F3C"/>
    <w:rsid w:val="00F4432D"/>
    <w:rsid w:val="00F5461D"/>
    <w:rsid w:val="00F63F72"/>
    <w:rsid w:val="00F641B2"/>
    <w:rsid w:val="00F67D76"/>
    <w:rsid w:val="00F715EF"/>
    <w:rsid w:val="00F75DE6"/>
    <w:rsid w:val="00F778BB"/>
    <w:rsid w:val="00F846B7"/>
    <w:rsid w:val="00F86847"/>
    <w:rsid w:val="00F87BF6"/>
    <w:rsid w:val="00F87C9D"/>
    <w:rsid w:val="00F9096B"/>
    <w:rsid w:val="00F923A7"/>
    <w:rsid w:val="00F94B96"/>
    <w:rsid w:val="00FB1B51"/>
    <w:rsid w:val="00FB5150"/>
    <w:rsid w:val="00FC069F"/>
    <w:rsid w:val="00FC6360"/>
    <w:rsid w:val="00FC68D0"/>
    <w:rsid w:val="00FD19C7"/>
    <w:rsid w:val="00FD2FC4"/>
    <w:rsid w:val="00FE1E8E"/>
    <w:rsid w:val="00FE53CD"/>
    <w:rsid w:val="00FE602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4F00-A6C9-4320-B0AF-8B058D1D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9</cp:revision>
  <cp:lastPrinted>2021-09-03T14:18:00Z</cp:lastPrinted>
  <dcterms:created xsi:type="dcterms:W3CDTF">2021-09-02T13:59:00Z</dcterms:created>
  <dcterms:modified xsi:type="dcterms:W3CDTF">2021-09-03T14:19:00Z</dcterms:modified>
</cp:coreProperties>
</file>