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0DC3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DC3">
        <w:rPr>
          <w:rFonts w:ascii="Times New Roman" w:hAnsi="Times New Roman"/>
          <w:sz w:val="28"/>
          <w:szCs w:val="28"/>
        </w:rPr>
        <w:t xml:space="preserve">о реализации мероприятий государственной программы «Реализация антикоррупционной политики Республики Татарстан» 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DC3">
        <w:rPr>
          <w:rFonts w:ascii="Times New Roman" w:hAnsi="Times New Roman"/>
          <w:sz w:val="28"/>
          <w:szCs w:val="28"/>
        </w:rPr>
        <w:t xml:space="preserve">в Тетюшском муниципальном районе </w:t>
      </w:r>
      <w:r w:rsidRPr="00370DC3">
        <w:rPr>
          <w:rFonts w:ascii="Times New Roman" w:hAnsi="Times New Roman"/>
          <w:b/>
          <w:sz w:val="28"/>
          <w:szCs w:val="28"/>
        </w:rPr>
        <w:t>за 1квартал 2025 года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0DC3"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9303A5" w:rsidRDefault="009303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 w:rsidR="009303A5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9303A5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3A5" w:rsidRDefault="009303A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6578"/>
        <w:gridCol w:w="2976"/>
        <w:gridCol w:w="5745"/>
      </w:tblGrid>
      <w:tr w:rsidR="009303A5" w:rsidTr="00F41D7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03A5" w:rsidTr="00F41D78">
        <w:trPr>
          <w:trHeight w:val="343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F41D78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В 1 квартале 2025 года отраслевых исследований коррупционных факторов и реализуемых антикоррупционных мер среди целевых групп не проводились.</w:t>
            </w:r>
          </w:p>
          <w:p w:rsidR="00601342" w:rsidRPr="00F41D78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 xml:space="preserve">На сайте района в разделе «Противодействие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коррупции» размещен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и находится в актуальном состоянии социологический опрос «Изучение мнения населения о коррупции». Результаты опроса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рассматриваются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на заседании комиссии по координации работы по противодействию коррупции в районе</w:t>
            </w:r>
          </w:p>
          <w:p w:rsidR="009303A5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(Значение индикаторов -100% выполнены)</w:t>
            </w:r>
          </w:p>
        </w:tc>
      </w:tr>
      <w:tr w:rsidR="009303A5" w:rsidTr="00F41D78">
        <w:trPr>
          <w:trHeight w:val="470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03A5" w:rsidTr="00F41D78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F41D78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 xml:space="preserve">В целях создания необходимых условий для проведения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независимой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антикоррупционной экспертизы проектов нормативных правовых актов в муниципальном районе на официальном сайте района в разделе «Противодействие коррупции» подраздела «Независимая ан-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коррупционная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экспертиза» размещены проекты НПА, разработанные органами местного самоуправления.</w:t>
            </w:r>
          </w:p>
          <w:p w:rsidR="009303A5" w:rsidRDefault="00601342" w:rsidP="0060134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(Выполнение индикатора- 100%).</w:t>
            </w:r>
          </w:p>
        </w:tc>
      </w:tr>
    </w:tbl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CF5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предоставления информации об исполнении комплекса процессных мероприятий </w:t>
      </w:r>
    </w:p>
    <w:p w:rsidR="009303A5" w:rsidRDefault="00CF59FF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9303A5" w:rsidRDefault="009303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 w:rsidR="009303A5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9303A5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3A5" w:rsidRDefault="009303A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6719"/>
        <w:gridCol w:w="2977"/>
        <w:gridCol w:w="5605"/>
      </w:tblGrid>
      <w:tr w:rsidR="009303A5" w:rsidTr="00F41D7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03A5" w:rsidTr="002B1CE1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370DC3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C3">
              <w:rPr>
                <w:rFonts w:ascii="Times New Roman" w:hAnsi="Times New Roman"/>
                <w:sz w:val="24"/>
                <w:szCs w:val="24"/>
              </w:rPr>
              <w:t>За I квартал 2025 год</w:t>
            </w:r>
            <w:r w:rsidR="00370DC3" w:rsidRPr="00370DC3">
              <w:rPr>
                <w:rFonts w:ascii="Times New Roman" w:hAnsi="Times New Roman"/>
                <w:sz w:val="24"/>
                <w:szCs w:val="24"/>
              </w:rPr>
              <w:t>а</w:t>
            </w:r>
            <w:r w:rsidRPr="00370DC3">
              <w:rPr>
                <w:rFonts w:ascii="Times New Roman" w:hAnsi="Times New Roman"/>
                <w:sz w:val="24"/>
                <w:szCs w:val="24"/>
              </w:rPr>
              <w:t xml:space="preserve"> принят</w:t>
            </w:r>
            <w:r w:rsidR="00370DC3" w:rsidRPr="00370DC3">
              <w:rPr>
                <w:rFonts w:ascii="Times New Roman" w:hAnsi="Times New Roman"/>
                <w:sz w:val="24"/>
                <w:szCs w:val="24"/>
              </w:rPr>
              <w:t>о</w:t>
            </w:r>
            <w:r w:rsidR="00F41D78" w:rsidRPr="00370DC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370DC3">
              <w:rPr>
                <w:rFonts w:ascii="Times New Roman" w:hAnsi="Times New Roman"/>
                <w:sz w:val="24"/>
                <w:szCs w:val="24"/>
              </w:rPr>
              <w:t>НПА в сфере противодействия коррупции</w:t>
            </w:r>
            <w:r w:rsidR="00F41D78" w:rsidRPr="00370DC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0DC3" w:rsidRPr="00370DC3" w:rsidRDefault="00370DC3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Pr="00370DC3" w:rsidRDefault="00370DC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70DC3">
              <w:rPr>
                <w:rFonts w:ascii="Times New Roman" w:hAnsi="Times New Roman"/>
                <w:sz w:val="24"/>
                <w:szCs w:val="24"/>
              </w:rPr>
              <w:t xml:space="preserve">Решение Совета Тетюшского муниципального района «Об утверждении Порядка размещения сведений о доходах, об имуществе и обязательствах имущественного характера лиц, </w:t>
            </w:r>
            <w:r w:rsidRPr="00370DC3">
              <w:rPr>
                <w:rFonts w:ascii="Times New Roman" w:hAnsi="Times New Roman"/>
                <w:kern w:val="28"/>
                <w:sz w:val="24"/>
                <w:szCs w:val="24"/>
              </w:rPr>
              <w:t>замещающих муниципальные должности, и должности муниципальной службы в органах местного самоуправления</w:t>
            </w:r>
            <w:r w:rsidRPr="00370DC3">
              <w:rPr>
                <w:rFonts w:ascii="Times New Roman" w:hAnsi="Times New Roman"/>
                <w:i/>
                <w:kern w:val="28"/>
                <w:sz w:val="24"/>
                <w:szCs w:val="24"/>
              </w:rPr>
              <w:t xml:space="preserve"> </w:t>
            </w:r>
            <w:r w:rsidRPr="00370DC3">
              <w:rPr>
                <w:rFonts w:ascii="Times New Roman" w:hAnsi="Times New Roman"/>
                <w:sz w:val="24"/>
                <w:szCs w:val="24"/>
              </w:rPr>
              <w:t xml:space="preserve">Тетюшского </w:t>
            </w:r>
            <w:r w:rsidRPr="00370DC3">
              <w:rPr>
                <w:rStyle w:val="match"/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370DC3">
              <w:rPr>
                <w:rFonts w:ascii="Times New Roman" w:hAnsi="Times New Roman"/>
                <w:sz w:val="24"/>
                <w:szCs w:val="24"/>
              </w:rPr>
              <w:t xml:space="preserve"> района и членов их семей на официальном сайте </w:t>
            </w:r>
            <w:r w:rsidRPr="00370DC3">
              <w:rPr>
                <w:rStyle w:val="match"/>
                <w:rFonts w:ascii="Times New Roman" w:hAnsi="Times New Roman"/>
                <w:sz w:val="24"/>
                <w:szCs w:val="24"/>
              </w:rPr>
              <w:t>Тетюшского</w:t>
            </w:r>
            <w:r w:rsidRPr="00370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DC3">
              <w:rPr>
                <w:rStyle w:val="match"/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370DC3">
              <w:rPr>
                <w:rFonts w:ascii="Times New Roman" w:hAnsi="Times New Roman"/>
                <w:sz w:val="24"/>
                <w:szCs w:val="24"/>
              </w:rPr>
              <w:t xml:space="preserve"> района и представления этих сведений общероссийским средствам массовой информации для опубликования»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иных правонарушений (с освобождением от иных функций, не относящихся к антикоррупционной работе)) в соответствии с </w:t>
            </w:r>
            <w:hyperlink r:id="rId8" w:anchor="/document/196300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9" w:anchor="/document/8166002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51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Штатная численность должностных лиц, ответственных за работу по профилактике коррупционных и иных правонарушений 4 человека. Все должностные лица, ответственные за работу по профилактике коррупционных и иных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правонарушений, имеют стаж работы в данной должности более 3-х лет.</w:t>
            </w:r>
          </w:p>
          <w:p w:rsidR="008D6F51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Тетюшского муниципального района от 06.03.2023 № 8 внесены изменения в должностную инструкцию заведующего сектором кадрового обеспечения муниципальной службы Исполнительного комитета Тетюшского муниципального района.</w:t>
            </w:r>
          </w:p>
          <w:p w:rsidR="009303A5" w:rsidRPr="00F41D78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Доля ОМС, внедривших внутренний контроль и антикоррупционный механизм в кадровую политику – 100%.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51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Оценка коррупционных рисков, возникающих при исполнении муниципальными служащими должностных обязанностей, проводится ежегодно.</w:t>
            </w:r>
          </w:p>
          <w:p w:rsidR="008D6F51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при исполнении должностных обязанностей. </w:t>
            </w:r>
          </w:p>
          <w:p w:rsidR="008D6F51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Постановление Исполнительного комитета Тетюшского муниципального района от 31.03.2023 № 148 «Об установлении перечня должностей муниципальной службы в Исполнительном комитете Тетюшского муниципального района, замещение которых связано с коррупционными рисками».</w:t>
            </w:r>
          </w:p>
          <w:p w:rsidR="008D6F51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Доля ОМС, внедривших внутренний контроль и антикоррупционный механизм в кадровую политику – 100%.</w:t>
            </w:r>
          </w:p>
          <w:p w:rsidR="009303A5" w:rsidRPr="00601342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51" w:rsidRPr="00601342" w:rsidRDefault="008D6F51" w:rsidP="008D6F5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При приеме на муниципальную службу граждане, претендующие на должность муниципальной службы, заполняют анкету установленной формы. </w:t>
            </w:r>
          </w:p>
          <w:p w:rsidR="008D6F51" w:rsidRPr="00601342" w:rsidRDefault="008D6F51" w:rsidP="008D6F5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В целях выявления возможного конфликта интересов, для выявления фактов наличия родства или свойства заведующим сектором ежемесячно проводится анализ сведений, содержащихся в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lastRenderedPageBreak/>
              <w:t>анкетах и личных делах лиц, замещающих муниципальные должности и должности муниципальной службы.</w:t>
            </w:r>
          </w:p>
          <w:p w:rsidR="009303A5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*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2B1CE1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За отчетный период проверки муниципальных служащих с изданием правового акта не проводились.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Проводится анализ на предмет участия муниципальных служащих и лиц, замещающих муниципальные должности в Тетюшском муниципальном районе в предпринимательской деятельности с использованием баз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>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</w:t>
            </w: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 xml:space="preserve">Муниципальными заказчиками при экспертизе, приемке товаров, работ, услуг и связанных с их качеством используются разработанные Государственным комитетом РТ по закупкам «Методические рекомендации по приемке товаров, работ, услуг государственными и муниципальными заказчиками Республики Татарстан», «Методические рекомендации по приемке расходных материалов к оргтехнике государственными и муниципальными заказчиками Республики Татарстан». В рамках методологического сопровождения закупок, а также в целях предупреждения коррупционных правонарушений используются также разработанные Государственным комитетом РТ по закупкам «Памятки государственным и муниципальным заказчикам Республики Татарстан о предотвращении конфликта интересов при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lastRenderedPageBreak/>
              <w:t>проведении закупок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B1CE1" w:rsidRPr="00601342" w:rsidRDefault="002B1CE1" w:rsidP="002B1CE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Бюджетными учреждениями, помимо соблюдения требований Закона № 44-ФЗ, направленных на противодействие коррупции, учитывались требования и других федеральных законов, указов Президента РФ, постановлений Правительства РФ, которые содержат нормы о противодействии коррупции.</w:t>
            </w:r>
          </w:p>
          <w:p w:rsidR="002B1CE1" w:rsidRPr="00601342" w:rsidRDefault="002B1CE1" w:rsidP="002B1CE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 Все закупки планировались заранее исходя из их целей путем формирования планов-графиков. Вся информация о закупках публикуется на Официальном сайте РФ </w:t>
            </w:r>
            <w:hyperlink r:id="rId10" w:history="1">
              <w:r w:rsidRPr="00601342">
                <w:rPr>
                  <w:sz w:val="24"/>
                  <w:szCs w:val="24"/>
                </w:rPr>
                <w:t>www.zakupki.gov.ru</w:t>
              </w:r>
            </w:hyperlink>
            <w:r w:rsidRPr="006013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 Работа по размещению муниципальных закупок проводилась в строгом соответствии с Федеральным законом от 05.04.2013 года № 44-ФЗ, в основном закупки проводятся аукционом в электронной форме, особенностью которого является изолированность заказчиков от потенциальных участников закупки при определении победителя, что, несомненно, предотвращает коррупционные проявления. Совместно с муниципальными заказчиками предпринимаются все необходимые меры по улучшению дальнейшей работы по осуществлению муниципальных закупок.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*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Республиканские органы исполнительной власти, органы местного самоуправления (по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Pr="00601342" w:rsidRDefault="008D6F51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Ответственным лицом по профилактике коррупционных правонарушений ежеквартально проводится анализ на предмет участия муниципальных служащих и лиц, замещающих </w:t>
            </w: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муниципальные должности в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 xml:space="preserve">управлении коммерческими и некоммерческими организациями.     Заведующим сектором по кадровой работе ежеквартально осуществляется мониторинг участия лиц, замещающих муниципальные должности, должности муниципальной службы в Отделе образования на предмет участия в деятельности и управлении коммерческими и некоммерческими организациями, посредством сверки с данными сайта </w:t>
            </w:r>
            <w:proofErr w:type="spellStart"/>
            <w:r w:rsidRPr="00601342">
              <w:rPr>
                <w:rFonts w:ascii="Times New Roman" w:hAnsi="Times New Roman"/>
                <w:sz w:val="24"/>
                <w:szCs w:val="24"/>
              </w:rPr>
              <w:t>Налог.ру</w:t>
            </w:r>
            <w:proofErr w:type="spellEnd"/>
            <w:r w:rsidRPr="00601342">
              <w:rPr>
                <w:rFonts w:ascii="Times New Roman" w:hAnsi="Times New Roman"/>
                <w:sz w:val="24"/>
                <w:szCs w:val="24"/>
              </w:rPr>
              <w:t>, сервиса «Прозрачный бизнес», по базе федеральной службы судебных приставов, иных сервисов и открытых источников информации. В отчетном периоде нарушений не установлено.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601342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C34E34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E34">
              <w:rPr>
                <w:rFonts w:ascii="Times New Roman" w:hAnsi="Times New Roman"/>
                <w:sz w:val="24"/>
                <w:szCs w:val="24"/>
              </w:rPr>
              <w:t>Осуществляется контроль за соблюдением обязанности принимать меры, предусмотренные положениями статьи 13</w:t>
            </w:r>
            <w:r w:rsidRPr="00C34E3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34E34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местного самоуправления. В ходе осуществления контроля проверены приказы о назначении должностных лиц ответственных за профилактику коррупционных и иных правонарушений, «О создании комиссий по соблюдению требований к служебному поведению и урегулированию конфликта интересов. В уставы всех организаций (учреждений), подведомственных МКУ «Отдел образования ИК ТМР РТ», и в трудовые договоры со </w:t>
            </w:r>
            <w:r w:rsidRPr="00C34E34">
              <w:rPr>
                <w:rFonts w:ascii="Times New Roman" w:hAnsi="Times New Roman"/>
                <w:sz w:val="24"/>
                <w:szCs w:val="24"/>
              </w:rPr>
              <w:lastRenderedPageBreak/>
              <w:t>всеми руководителями таких организаций (учреждений), внесены изменения, предусматривающие включение положений о предотвращении и урегулировании конфликта интересов.</w:t>
            </w:r>
            <w:r w:rsidR="00D53DF0" w:rsidRPr="00C34E34">
              <w:rPr>
                <w:rFonts w:ascii="Times New Roman" w:hAnsi="Times New Roman"/>
                <w:sz w:val="24"/>
                <w:szCs w:val="24"/>
              </w:rPr>
              <w:t xml:space="preserve">       Анализ подведомственных организаций на предмет наличия фактов конфликта интересов проводится ежеквартально.</w:t>
            </w:r>
          </w:p>
        </w:tc>
      </w:tr>
      <w:tr w:rsidR="00601342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pStyle w:val="a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601342" w:rsidRDefault="00601342" w:rsidP="00601342">
            <w:pPr>
              <w:pStyle w:val="a0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146ECE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CE">
              <w:rPr>
                <w:rFonts w:ascii="Times New Roman" w:hAnsi="Times New Roman"/>
                <w:sz w:val="24"/>
                <w:szCs w:val="24"/>
              </w:rPr>
              <w:t>План работы комиссии по координации работы по противодействию коррупции на 202</w:t>
            </w:r>
            <w:r w:rsidR="007276E0">
              <w:rPr>
                <w:rFonts w:ascii="Times New Roman" w:hAnsi="Times New Roman"/>
                <w:sz w:val="24"/>
                <w:szCs w:val="24"/>
              </w:rPr>
              <w:t>5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год утвержден Главой </w:t>
            </w:r>
            <w:r>
              <w:rPr>
                <w:rFonts w:ascii="Times New Roman" w:hAnsi="Times New Roman"/>
                <w:sz w:val="24"/>
                <w:szCs w:val="24"/>
              </w:rPr>
              <w:t>Тетюшского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утвержден </w:t>
            </w:r>
            <w:r w:rsidRPr="00146E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46ECE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года. Обеспечивается исполнение годового плана работы комиссий при Главе по противодействию коррупции, комиссий по координации работы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Тетюшском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D53DF0" w:rsidRPr="00146ECE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CE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601342" w:rsidRPr="00C34E34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3A5" w:rsidTr="002B1CE1">
        <w:trPr>
          <w:trHeight w:val="78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 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 xml:space="preserve">отчетном периоде приняты НПА – </w:t>
            </w:r>
            <w:r w:rsidR="0061004F">
              <w:rPr>
                <w:rFonts w:ascii="Times New Roman" w:hAnsi="Times New Roman"/>
                <w:sz w:val="24"/>
                <w:szCs w:val="24"/>
              </w:rPr>
              <w:t>38</w:t>
            </w:r>
            <w:bookmarkStart w:id="2" w:name="_GoBack"/>
            <w:bookmarkEnd w:id="2"/>
            <w:r w:rsidRPr="007276E0">
              <w:rPr>
                <w:rFonts w:ascii="Times New Roman" w:hAnsi="Times New Roman"/>
                <w:sz w:val="24"/>
                <w:szCs w:val="24"/>
              </w:rPr>
              <w:t>.</w:t>
            </w:r>
            <w:r w:rsidRPr="00D53DF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Все проекты НПА прошли внутреннию  антикоррупционная экспертизу.</w:t>
            </w:r>
          </w:p>
          <w:p w:rsidR="00D53DF0" w:rsidRPr="00D53DF0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проведенной экспертизы не выявлены коррупционные факторы в проектах НПА. </w:t>
            </w:r>
            <w:r w:rsidRPr="00D53DF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Количество проектов 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>НПА в которые были внесены изменения-0.</w:t>
            </w:r>
          </w:p>
          <w:p w:rsidR="00D53DF0" w:rsidRPr="00D53DF0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Количество 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>НПА в которые были внесены изменения (из коррупционного фактора):</w:t>
            </w:r>
          </w:p>
          <w:p w:rsidR="00D53DF0" w:rsidRPr="00D53DF0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- муниципального района -0;</w:t>
            </w:r>
          </w:p>
          <w:p w:rsidR="00D53DF0" w:rsidRPr="00D53DF0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-сельских поселений</w:t>
            </w:r>
            <w:r w:rsidRPr="00D53DF0">
              <w:rPr>
                <w:rFonts w:ascii="Times New Roman" w:hAnsi="Times New Roman"/>
                <w:sz w:val="24"/>
                <w:szCs w:val="24"/>
                <w:lang w:val="tt-RU"/>
              </w:rPr>
              <w:t>й -0.</w:t>
            </w:r>
          </w:p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- 100%).</w:t>
            </w:r>
          </w:p>
        </w:tc>
      </w:tr>
      <w:tr w:rsidR="009303A5" w:rsidTr="002B1CE1">
        <w:trPr>
          <w:trHeight w:val="708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     В целях формирования у служащих и работников муниципальных организаций отрицательного отношения к коррупции в работе использовались методические и информационные материалы, полученные от республиканских структур. </w:t>
            </w:r>
          </w:p>
          <w:p w:rsidR="00D53DF0" w:rsidRPr="00D53DF0" w:rsidRDefault="00D53DF0" w:rsidP="00D53D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      За отчетный период проведены мероприятия антикоррупционной направленности: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1D78">
              <w:rPr>
                <w:rFonts w:ascii="Times New Roman" w:hAnsi="Times New Roman"/>
                <w:sz w:val="24"/>
                <w:szCs w:val="24"/>
              </w:rPr>
              <w:t>20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профилактических бесед с учащимися образовательных организаций; Осуществляется правовое просвещение муниципальных служащих в соответствии с законодательством и оказывается консультативная помощь служащим по вопросам, связанным с применением на практике требований служебному поведению и общих принципов служебного поведения муниципальных служащих. Для проведения данной работы привлекаются представители общественного Совета, Совета ветеранов и других институтов гражданского общества.</w:t>
            </w:r>
          </w:p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(Выполнение индикаторов - 100%).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В Тетюшском муниципальном районе РТ на заседаниях Общественного Совета муниципального района рассматриваются результаты реализации мероприятий муниципальной программы «Реализация антикоррупционной политики в Тетюшском муниципальном районе РТ».</w:t>
            </w:r>
          </w:p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  <w:tr w:rsidR="009303A5" w:rsidTr="002B1CE1">
        <w:trPr>
          <w:trHeight w:val="62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За отчетный период обращений коррупционной направленности не поступало.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Информация о коррупционных проявлениях в деятельности должностных лиц, в средствах массовой информации не размещена. Обращений граждан и юридических лиц о коррупционных нарушениях со стороны муниципальных служащих и должностных лиц органов местного самоуправления не поступала.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 антикоррупционной направленности имеются во всех муниципальных учреждениях. Информация обновляется по мере необходимости. 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Актуализация информации в разделах «Противодействие коррупции» официальном сайте района проводиться своевременно.</w:t>
            </w:r>
          </w:p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Также организовано взаимодействие органов местного самоуправления со средствами массовой информации в сфере противодействия коррупции, систематически ведется целенаправленная работа по формированию антикоррупционного мировоззрения и просвещению населения. На все мероприятия, проводимые в рамках реализации антикоррупционной политики, приглашаются представители СМИ. Представителям СМИ после заседания предоставляется необходимая информация для публикации.</w:t>
            </w:r>
          </w:p>
          <w:p w:rsidR="00D53DF0" w:rsidRPr="00D53DF0" w:rsidRDefault="00D53DF0" w:rsidP="00F41D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lastRenderedPageBreak/>
              <w:t>В районной газете периодически публикуются материалы антикоррупционной направленности. Материалы выходят и на телевидении, и на радио, и в газете «Авангард», («</w:t>
            </w:r>
            <w:proofErr w:type="spellStart"/>
            <w:r w:rsidRPr="00D53DF0">
              <w:rPr>
                <w:rFonts w:ascii="Times New Roman" w:hAnsi="Times New Roman"/>
                <w:sz w:val="24"/>
                <w:szCs w:val="24"/>
              </w:rPr>
              <w:t>Тетюшские</w:t>
            </w:r>
            <w:proofErr w:type="spellEnd"/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зори»). В отчетном периоде</w:t>
            </w:r>
            <w:r w:rsidRPr="00D53DF0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53DF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материалы по антикоррупционной направленности опубликованы в газете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F41D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ИТС «Интернет»-</w:t>
            </w:r>
            <w:r w:rsidR="00F41D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  <w:tr w:rsidR="009303A5" w:rsidTr="002B1CE1">
        <w:trPr>
          <w:trHeight w:val="601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B007E3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3">
              <w:rPr>
                <w:rFonts w:ascii="Times New Roman" w:hAnsi="Times New Roman"/>
                <w:sz w:val="24"/>
                <w:szCs w:val="24"/>
              </w:rPr>
              <w:t>Для  эффективного использования бюджетных и внебюджетных средств, развития добросовестной конкуренции, обеспечения гласности и прозрачности, предотвращения коррупции и других злоупотреблений, размещение заказов на поставку товаров, оказание услуг, выполнение работ для муниципальных нужд Тетюшского муниципального района осуществляется в соответствии с Федеральным законом от 05.04.2013 N 44-ФЗ  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Вся информация по проводимым закупкам, находится в открытом доступе на Общероссийском официальном сайте </w:t>
            </w:r>
            <w:hyperlink r:id="rId12" w:history="1">
              <w:r w:rsidRPr="00B007E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www.zakupki.gov.ru</w:t>
              </w:r>
            </w:hyperlink>
            <w:r w:rsidRPr="00B0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1D78" w:rsidTr="002B1CE1">
        <w:trPr>
          <w:trHeight w:val="37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Организовано проведение мониторинга обращений граждан о проявлениях коррупции в социально-экономических отраслях жизнедеятельности Тетюшского муниципального района. Обращений граждан о проявлениях коррупции в социально-экономических отраслях жизнедеятельности Тетюшского муниципального района не было.</w:t>
            </w: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- 100%).</w:t>
            </w:r>
          </w:p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Организован контроль. Меры юридической ответственности за несоблюдение запретов, ограничений и требований, установленных в целях противодействия коррупции, в органах местного самоуправления муниципального района в отношении муниципальных служащих и лиц, замещающих муниципальные должности в отчетном периоде, не применялись.</w:t>
            </w:r>
          </w:p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F41D78" w:rsidRDefault="00F41D78" w:rsidP="00F41D7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3" w:anchor="/document/12164203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В Тетюшском муниципальном районе ответственным лицом за работу по профилактике коррупционных и иных правонарушений осуществляется 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интересов. Привлеченных к ответственности за несоблюдение требований в отчетном периоде не имеется.</w:t>
            </w: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</w:tbl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sectPr w:rsidR="009303A5">
      <w:headerReference w:type="default" r:id="rId14"/>
      <w:pgSz w:w="16838" w:h="11906" w:orient="landscape"/>
      <w:pgMar w:top="1077" w:right="567" w:bottom="1021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AC8" w:rsidRDefault="00006AC8">
      <w:pPr>
        <w:spacing w:after="0" w:line="240" w:lineRule="auto"/>
      </w:pPr>
      <w:r>
        <w:separator/>
      </w:r>
    </w:p>
  </w:endnote>
  <w:endnote w:type="continuationSeparator" w:id="0">
    <w:p w:rsidR="00006AC8" w:rsidRDefault="0000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AC8" w:rsidRDefault="00006AC8">
      <w:pPr>
        <w:spacing w:after="0" w:line="240" w:lineRule="auto"/>
      </w:pPr>
      <w:r>
        <w:separator/>
      </w:r>
    </w:p>
  </w:footnote>
  <w:footnote w:type="continuationSeparator" w:id="0">
    <w:p w:rsidR="00006AC8" w:rsidRDefault="0000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A5" w:rsidRDefault="00CF59FF">
    <w:pPr>
      <w:pStyle w:val="af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03A5" w:rsidRDefault="00CF59FF">
                          <w:pPr>
                            <w:pStyle w:val="afc"/>
                          </w:pP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1004F">
                            <w:rPr>
                              <w:rStyle w:val="af1"/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1270" tIns="1270" rIns="1270" bIns="127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5.95pt;height:13.7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" o:allowincell="f" stroked="f">
              <v:fill opacity="0"/>
              <v:textbox inset=".1pt,.1pt,.1pt,.1pt">
                <w:txbxContent>
                  <w:p w:rsidR="009303A5" w:rsidRDefault="00CF59FF">
                    <w:pPr>
                      <w:pStyle w:val="afc"/>
                    </w:pP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61004F">
                      <w:rPr>
                        <w:rStyle w:val="af1"/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8</w: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3CBC"/>
    <w:multiLevelType w:val="multilevel"/>
    <w:tmpl w:val="57327E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557BC"/>
    <w:multiLevelType w:val="multilevel"/>
    <w:tmpl w:val="37341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A5"/>
    <w:rsid w:val="00006AC8"/>
    <w:rsid w:val="002B1CE1"/>
    <w:rsid w:val="00370DC3"/>
    <w:rsid w:val="00601342"/>
    <w:rsid w:val="0061004F"/>
    <w:rsid w:val="007276E0"/>
    <w:rsid w:val="008D6F51"/>
    <w:rsid w:val="009303A5"/>
    <w:rsid w:val="00A51155"/>
    <w:rsid w:val="00A92696"/>
    <w:rsid w:val="00CF59FF"/>
    <w:rsid w:val="00D53DF0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83E0"/>
  <w15:docId w15:val="{5E41B787-6546-4C95-AB26-BF42FA9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  <w:style w:type="paragraph" w:styleId="affb">
    <w:name w:val="No Spacing"/>
    <w:link w:val="affc"/>
    <w:uiPriority w:val="99"/>
    <w:qFormat/>
    <w:rsid w:val="008D6F51"/>
    <w:pPr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99"/>
    <w:locked/>
    <w:rsid w:val="008D6F5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atch">
    <w:name w:val="match"/>
    <w:rsid w:val="0037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user</cp:lastModifiedBy>
  <cp:revision>5</cp:revision>
  <cp:lastPrinted>2014-07-16T15:25:00Z</cp:lastPrinted>
  <dcterms:created xsi:type="dcterms:W3CDTF">2025-03-31T13:07:00Z</dcterms:created>
  <dcterms:modified xsi:type="dcterms:W3CDTF">2025-04-01T07:06:00Z</dcterms:modified>
  <dc:language>ru-RU</dc:language>
</cp:coreProperties>
</file>