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DC3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DC3">
        <w:rPr>
          <w:rFonts w:ascii="Times New Roman" w:hAnsi="Times New Roman"/>
          <w:sz w:val="28"/>
          <w:szCs w:val="28"/>
        </w:rPr>
        <w:t xml:space="preserve">о реализации мероприятий государственной программы «Реализация антикоррупционной политики Республики Татарстан» 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DC3">
        <w:rPr>
          <w:rFonts w:ascii="Times New Roman" w:hAnsi="Times New Roman"/>
          <w:sz w:val="28"/>
          <w:szCs w:val="28"/>
        </w:rPr>
        <w:t xml:space="preserve">в Тетюшском муниципальном районе </w:t>
      </w:r>
      <w:r w:rsidRPr="00370DC3">
        <w:rPr>
          <w:rFonts w:ascii="Times New Roman" w:hAnsi="Times New Roman"/>
          <w:b/>
          <w:sz w:val="28"/>
          <w:szCs w:val="28"/>
        </w:rPr>
        <w:t xml:space="preserve">за </w:t>
      </w:r>
      <w:r w:rsidR="0092730E">
        <w:rPr>
          <w:rFonts w:ascii="Times New Roman" w:hAnsi="Times New Roman"/>
          <w:b/>
          <w:sz w:val="28"/>
          <w:szCs w:val="28"/>
        </w:rPr>
        <w:t>1 полугодие</w:t>
      </w:r>
      <w:r w:rsidRPr="00370DC3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370DC3" w:rsidRPr="00370DC3" w:rsidRDefault="00370DC3" w:rsidP="0037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DC3"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9303A5" w:rsidRDefault="009303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 w:rsidR="009303A5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9303A5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3A5" w:rsidRDefault="009303A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6578"/>
        <w:gridCol w:w="2976"/>
        <w:gridCol w:w="5745"/>
      </w:tblGrid>
      <w:tr w:rsidR="009303A5" w:rsidTr="00F41D7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03A5" w:rsidTr="00F41D78">
        <w:trPr>
          <w:trHeight w:val="343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F41D78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В</w:t>
            </w:r>
            <w:r w:rsidR="006663FB">
              <w:rPr>
                <w:rFonts w:ascii="Times New Roman" w:hAnsi="Times New Roman"/>
                <w:sz w:val="24"/>
                <w:szCs w:val="24"/>
              </w:rPr>
              <w:t>о втором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квартале 2025 года отраслевых исследований коррупционных факторов и реализуемых антикоррупционных мер среди целевых групп не проводились.</w:t>
            </w:r>
          </w:p>
          <w:p w:rsidR="00601342" w:rsidRPr="00F41D78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 xml:space="preserve">На сайте района в разделе «Противодействие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коррупции» размещен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и находится в актуальном состоянии социологический опрос «Изучение мнения населения о коррупции». Результаты опроса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рассматриваются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на заседании комиссии по координации работы по противодействию коррупции в районе</w:t>
            </w:r>
          </w:p>
          <w:p w:rsidR="009303A5" w:rsidRDefault="00601342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(Значение индикаторов -100% выполнены)</w:t>
            </w:r>
          </w:p>
        </w:tc>
      </w:tr>
      <w:tr w:rsidR="009303A5" w:rsidTr="00F41D78">
        <w:trPr>
          <w:trHeight w:val="470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03A5" w:rsidTr="00F41D78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F41D78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 xml:space="preserve">В целях создания необходимых условий для проведения 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независимой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антикоррупционной экспертизы проектов нормативных правовых актов в муниципальном районе на официальном сайте района в разделе «Противодействие коррупции» подраздела «Независимая ан-</w:t>
            </w:r>
            <w:r w:rsidR="00F41D78" w:rsidRPr="00F41D78">
              <w:rPr>
                <w:rFonts w:ascii="Times New Roman" w:hAnsi="Times New Roman"/>
                <w:sz w:val="24"/>
                <w:szCs w:val="24"/>
              </w:rPr>
              <w:t>коррупционная</w:t>
            </w:r>
            <w:r w:rsidRPr="00F41D78">
              <w:rPr>
                <w:rFonts w:ascii="Times New Roman" w:hAnsi="Times New Roman"/>
                <w:sz w:val="24"/>
                <w:szCs w:val="24"/>
              </w:rPr>
              <w:t xml:space="preserve"> экспертиза» размещены проекты НПА, разработанные органами местного самоуправления.</w:t>
            </w:r>
          </w:p>
          <w:p w:rsidR="009303A5" w:rsidRDefault="00601342" w:rsidP="0060134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(Выполнение индикатора- 100%).</w:t>
            </w:r>
          </w:p>
        </w:tc>
      </w:tr>
    </w:tbl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930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3A5" w:rsidRDefault="00CF5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предоставления информации об исполнении комплекса процессных мероприятий </w:t>
      </w:r>
    </w:p>
    <w:p w:rsidR="009303A5" w:rsidRDefault="00CF59FF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9303A5" w:rsidRDefault="009303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 w:rsidR="009303A5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9303A5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03A5" w:rsidRDefault="009303A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6719"/>
        <w:gridCol w:w="2977"/>
        <w:gridCol w:w="5605"/>
      </w:tblGrid>
      <w:tr w:rsidR="009303A5" w:rsidTr="00F41D78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03A5" w:rsidTr="002B1CE1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9303A5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9303A5" w:rsidRDefault="009303A5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Pr="00370DC3" w:rsidRDefault="006663FB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37BD1">
              <w:rPr>
                <w:rFonts w:ascii="Times New Roman" w:hAnsi="Times New Roman"/>
                <w:sz w:val="24"/>
                <w:szCs w:val="24"/>
              </w:rPr>
              <w:t>Решение Совета Тетюш</w:t>
            </w:r>
            <w:r>
              <w:rPr>
                <w:rFonts w:ascii="Times New Roman" w:hAnsi="Times New Roman"/>
                <w:sz w:val="24"/>
                <w:szCs w:val="24"/>
              </w:rPr>
              <w:t>ского муниципального района от 31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№ 62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7B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размещения сведений о доходах,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Тетюшского муниципального района и членов их семей на официальном сайте Тетюшского муниципального района и предоставления этих сведений общероссийским средствам массовой информации для опубликования»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 </w:t>
            </w:r>
            <w:hyperlink r:id="rId8" w:anchor="/document/196300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9" w:anchor="/document/8166002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Штатная численность должностных лиц, ответственных за работу по профилактике коррупционных и иных правонарушений 4 человека. Все 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>должностны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>, 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09C8">
              <w:rPr>
                <w:rFonts w:ascii="Times New Roman" w:hAnsi="Times New Roman"/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 имеют стаж работы в данной должности более 3-х лет.</w:t>
            </w:r>
          </w:p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Распоряжением Исполнительного комитета Тетюшского муниципального района от 06.03.2023 № 8 внесены изменения в должностную инструкцию заведующего сектором кадрового обеспечения муниципальной службы Исполнительного комитета Тетюшского муниципального района.</w:t>
            </w:r>
          </w:p>
          <w:p w:rsidR="009303A5" w:rsidRPr="00F41D78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3A0191">
              <w:rPr>
                <w:rFonts w:ascii="Times New Roman" w:hAnsi="Times New Roman"/>
                <w:sz w:val="18"/>
                <w:szCs w:val="18"/>
              </w:rPr>
              <w:t xml:space="preserve"> Доля ОМС, внедривших внутренний контроль и антикоррупционный механизм в кадровую политику – 100%.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3A0191">
              <w:rPr>
                <w:rFonts w:ascii="Times New Roman" w:hAnsi="Times New Roman"/>
                <w:sz w:val="24"/>
                <w:szCs w:val="24"/>
              </w:rPr>
              <w:t xml:space="preserve"> Оценка коррупционных рисков, возникающих при исполнении муниципальными служащими должностных обязанностей, проводится ежегодно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при исполнении должностных обязанностей. </w:t>
            </w:r>
          </w:p>
          <w:p w:rsidR="006663FB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Исполнительного комитета Тетюшского муниципального района от 3</w:t>
            </w:r>
            <w:r w:rsidRPr="00C92F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C92F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Pr="00D37A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C92FB4">
              <w:rPr>
                <w:rFonts w:ascii="Times New Roman" w:hAnsi="Times New Roman"/>
                <w:sz w:val="24"/>
                <w:szCs w:val="24"/>
              </w:rPr>
              <w:t>1</w:t>
            </w:r>
            <w:r w:rsidRPr="00D37AFA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установлении перечня должностей муниципальной службы в Исполнительном комитете Тетюшского муниципального района, замещение которых связано с коррупционными рисками».</w:t>
            </w:r>
          </w:p>
          <w:p w:rsidR="006663FB" w:rsidRPr="0076604A" w:rsidRDefault="006663FB" w:rsidP="006663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3A0191">
              <w:rPr>
                <w:rFonts w:ascii="Times New Roman" w:hAnsi="Times New Roman"/>
                <w:sz w:val="18"/>
                <w:szCs w:val="18"/>
              </w:rPr>
              <w:t xml:space="preserve"> Доля ОМС, внедривших внутренний контроль и антикоррупционный механизм в кадровую политику – 100%.</w:t>
            </w:r>
          </w:p>
          <w:p w:rsidR="009303A5" w:rsidRPr="00601342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F51" w:rsidRPr="00601342" w:rsidRDefault="008D6F51" w:rsidP="008D6F5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При приеме на муниципальную службу граждане, претендующие на должность муниципальной службы, заполняют анкету установленной формы. </w:t>
            </w:r>
          </w:p>
          <w:p w:rsidR="008D6F51" w:rsidRPr="00601342" w:rsidRDefault="008D6F51" w:rsidP="008D6F5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В целях выявления возможного конфликта интересов, для выявления фактов наличия родства или свойства заведующим сектором ежемесячно проводится анализ сведений, содержащихся в анкетах и личных делах лиц, замещающих муниципальные должности и должности муниципальной службы.</w:t>
            </w:r>
          </w:p>
          <w:p w:rsidR="009303A5" w:rsidRPr="00601342" w:rsidRDefault="008D6F51" w:rsidP="008D6F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*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2B1CE1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За отчетный период проверки муниципальных служащих с изданием правового акта не проводились.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Проводится анализ на предмет участия муниципальных служащих и лиц, замещающих муниципальные должности в Тетюшском муниципальном районе в предпринимательской деятельности с использованием баз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</w:t>
            </w: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Муниципальными заказчиками при экспертизе, приемке товаров, работ, услуг и связанных с их качеством используются разработанные Государственным комитетом РТ по закупкам «Методические рекомендации по приемке товаров, работ, услуг государственными и муниципальными заказчиками Республики Татарстан», «Методические рекомендации по приемке расходных материалов к оргтехнике государственными и муниципальными заказчиками Республики Татарстан». В рамках методологического сопровождения закупок, а также в целях предупреждения коррупционных правонарушений используются также разработанные Государственным комитетом РТ по закупкам «Памятки государственным и муниципальным заказчикам Республики Татарстан о предотвращении конфликта интересов при проведении закупок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2B1CE1" w:rsidRPr="00601342" w:rsidRDefault="002B1CE1" w:rsidP="002B1CE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Бюджетными учреждениями, помимо соблюдения требований Закона № 44-ФЗ, направленных на противодействие коррупции, учитывались требова</w:t>
            </w:r>
            <w:r w:rsidRPr="00601342">
              <w:rPr>
                <w:rFonts w:ascii="Times New Roman" w:hAnsi="Times New Roman"/>
                <w:sz w:val="24"/>
                <w:szCs w:val="24"/>
              </w:rPr>
              <w:lastRenderedPageBreak/>
              <w:t>ния и других федеральных законов, указов Президента РФ, постановлений Правительства РФ, которые содержат нормы о противодействии коррупции.</w:t>
            </w:r>
          </w:p>
          <w:p w:rsidR="002B1CE1" w:rsidRPr="00601342" w:rsidRDefault="002B1CE1" w:rsidP="002B1CE1">
            <w:pPr>
              <w:pStyle w:val="af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 Все закупки планировались заранее исходя из их целей путем формирования планов-графиков. Вся информация о закупках публикуется на Официальном сайте РФ </w:t>
            </w:r>
            <w:hyperlink r:id="rId10" w:history="1">
              <w:r w:rsidRPr="00601342">
                <w:rPr>
                  <w:sz w:val="24"/>
                  <w:szCs w:val="24"/>
                </w:rPr>
                <w:t>www.zakupki.gov.ru</w:t>
              </w:r>
            </w:hyperlink>
            <w:r w:rsidRPr="006013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 xml:space="preserve">        Работа по размещению муниципальных закупок проводилась в строгом соответствии с Федеральным законом от 05.04.2013 года № 44-ФЗ, в основном закупки проводятся аукционом в электронной форме, особенностью которого является изолированность заказчиков от потенциальных участников закупки при определении победителя, что, несомненно, предотвращает коррупционные проявления. Совместно с муниципальными заказчиками предпринимаются все необходимые меры по улучшению дальнейшей работы по осуществлению муниципальных закупок.</w:t>
            </w:r>
          </w:p>
          <w:p w:rsidR="002B1CE1" w:rsidRPr="00601342" w:rsidRDefault="002B1CE1" w:rsidP="002B1C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</w:rPr>
              <w:t>*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Pr="00601342" w:rsidRDefault="008D6F51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34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Ответственным лицом по профилактике коррупционных правонарушений ежеквартально проводится анализ на предмет участия муниципальных служащих и лиц, замещающих муниципальные должности в </w:t>
            </w:r>
            <w:r w:rsidRPr="00601342">
              <w:rPr>
                <w:rFonts w:ascii="Times New Roman" w:hAnsi="Times New Roman"/>
                <w:sz w:val="24"/>
                <w:szCs w:val="24"/>
              </w:rPr>
              <w:t>управлении коммерческими и некоммерческими организациями.     Заведующим сектором по кадровой работе ежеквартально осуществляется мониторинг участия лиц, замещающих муниципальные должности, должности муниципальной службы в Отделе образования на предмет участия в деятельности и управлении коммерческими и некоммерче</w:t>
            </w:r>
            <w:r w:rsidRPr="006013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скими организациями, посредством сверки с данными сайта </w:t>
            </w:r>
            <w:proofErr w:type="spellStart"/>
            <w:r w:rsidRPr="00601342">
              <w:rPr>
                <w:rFonts w:ascii="Times New Roman" w:hAnsi="Times New Roman"/>
                <w:sz w:val="24"/>
                <w:szCs w:val="24"/>
              </w:rPr>
              <w:t>Налог.ру</w:t>
            </w:r>
            <w:proofErr w:type="spellEnd"/>
            <w:r w:rsidRPr="00601342">
              <w:rPr>
                <w:rFonts w:ascii="Times New Roman" w:hAnsi="Times New Roman"/>
                <w:sz w:val="24"/>
                <w:szCs w:val="24"/>
              </w:rPr>
              <w:t>, сервиса «Прозрачный бизнес», по базе федеральной службы судебных приставов, иных сервисов и открытых источников информации. В отчетном периоде нарушений не установлено. Значение индикатора по мероприятию (доля ОМС, внедривших внутренний контроль и антикоррупционный механизм в кадровую политику) – 100%</w:t>
            </w:r>
          </w:p>
        </w:tc>
      </w:tr>
      <w:tr w:rsidR="00601342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Pr="00C34E34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E34">
              <w:rPr>
                <w:rFonts w:ascii="Times New Roman" w:hAnsi="Times New Roman"/>
                <w:sz w:val="24"/>
                <w:szCs w:val="24"/>
              </w:rPr>
              <w:t>Осуществляется контроль за соблюдением обязанности принимать меры, предусмотренные положениями статьи 13</w:t>
            </w:r>
            <w:r w:rsidRPr="00C34E3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34E34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органам местного самоуправления. В ходе осуществления контроля проверены приказы о назначении должностных лиц ответственных за профилактику коррупционных и иных правонарушений, «О создании комиссий по соблюдению требований к служебному поведению и урегулированию конфликта интересов. В уставы всех организаций (учреждений), подведомственных МКУ «Отдел образования ИК ТМР РТ», и в трудовые договоры со всеми руководителями таких организаций (учреждений), внесены изменения, предусматривающие включение положений о предотвращении и урегулировании конфликта интересов.</w:t>
            </w:r>
            <w:r w:rsidR="00D53DF0" w:rsidRPr="00C34E34">
              <w:rPr>
                <w:rFonts w:ascii="Times New Roman" w:hAnsi="Times New Roman"/>
                <w:sz w:val="24"/>
                <w:szCs w:val="24"/>
              </w:rPr>
              <w:t xml:space="preserve">       Анализ подведомственных организаций на предмет наличия фактов конфликта интересов проводится ежеквартально.</w:t>
            </w:r>
          </w:p>
        </w:tc>
      </w:tr>
      <w:tr w:rsidR="00601342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42" w:rsidRDefault="00601342" w:rsidP="00601342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</w:t>
            </w:r>
          </w:p>
          <w:p w:rsidR="00601342" w:rsidRDefault="00601342" w:rsidP="00601342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146ECE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CE">
              <w:rPr>
                <w:rFonts w:ascii="Times New Roman" w:hAnsi="Times New Roman"/>
                <w:sz w:val="24"/>
                <w:szCs w:val="24"/>
              </w:rPr>
              <w:lastRenderedPageBreak/>
              <w:t>План работы комиссии по координации работы по противодействию коррупции на 202</w:t>
            </w:r>
            <w:r w:rsidR="007276E0">
              <w:rPr>
                <w:rFonts w:ascii="Times New Roman" w:hAnsi="Times New Roman"/>
                <w:sz w:val="24"/>
                <w:szCs w:val="24"/>
              </w:rPr>
              <w:t>5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год утвержден Главой </w:t>
            </w:r>
            <w:r>
              <w:rPr>
                <w:rFonts w:ascii="Times New Roman" w:hAnsi="Times New Roman"/>
                <w:sz w:val="24"/>
                <w:szCs w:val="24"/>
              </w:rPr>
              <w:t>Тетюшского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утвержден </w:t>
            </w:r>
            <w:r w:rsidRPr="00146E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46ECE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года. Обеспечивается </w:t>
            </w:r>
            <w:r w:rsidRPr="00146E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исполнение годового плана работы комиссий при Главе по противодействию коррупции, комиссий по координации работы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Тетюшском</w:t>
            </w:r>
            <w:r w:rsidRPr="00146ECE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D53DF0" w:rsidRPr="00146ECE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ECE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601342" w:rsidRPr="00C34E34" w:rsidRDefault="00601342" w:rsidP="006013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3A5" w:rsidTr="002B1CE1">
        <w:trPr>
          <w:trHeight w:val="78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2" w:name="_GoBack"/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 </w:t>
            </w:r>
            <w:r w:rsidRPr="00AB2974">
              <w:rPr>
                <w:rFonts w:ascii="Times New Roman" w:hAnsi="Times New Roman"/>
                <w:sz w:val="24"/>
                <w:szCs w:val="24"/>
              </w:rPr>
              <w:t xml:space="preserve">отчетном периоде приняты НПА – </w:t>
            </w:r>
            <w:r w:rsidR="00AB2974" w:rsidRPr="00AB2974">
              <w:rPr>
                <w:rFonts w:ascii="Times New Roman" w:hAnsi="Times New Roman"/>
                <w:sz w:val="24"/>
                <w:szCs w:val="24"/>
              </w:rPr>
              <w:t>156</w:t>
            </w:r>
            <w:r w:rsidRPr="00AB2974">
              <w:rPr>
                <w:rFonts w:ascii="Times New Roman" w:hAnsi="Times New Roman"/>
                <w:sz w:val="24"/>
                <w:szCs w:val="24"/>
              </w:rPr>
              <w:t>.</w:t>
            </w: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Все проекты НПА прошли внутреннию  антикоррупционная экспертизу.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974"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проведенной экспертизы не выявлены коррупционные факторы в проектах НПА. </w:t>
            </w: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Количество проектов </w:t>
            </w:r>
            <w:r w:rsidRPr="00AB2974">
              <w:rPr>
                <w:rFonts w:ascii="Times New Roman" w:hAnsi="Times New Roman"/>
                <w:sz w:val="24"/>
                <w:szCs w:val="24"/>
              </w:rPr>
              <w:t>НПА в которые были внесены изменения-0.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Количество </w:t>
            </w:r>
            <w:r w:rsidRPr="00AB2974">
              <w:rPr>
                <w:rFonts w:ascii="Times New Roman" w:hAnsi="Times New Roman"/>
                <w:sz w:val="24"/>
                <w:szCs w:val="24"/>
              </w:rPr>
              <w:t>НПА в которые были внесены изменения (из коррупционного фактора):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974">
              <w:rPr>
                <w:rFonts w:ascii="Times New Roman" w:hAnsi="Times New Roman"/>
                <w:sz w:val="24"/>
                <w:szCs w:val="24"/>
              </w:rPr>
              <w:t>- муниципального района -0;</w:t>
            </w:r>
          </w:p>
          <w:p w:rsidR="00D53DF0" w:rsidRPr="00AB2974" w:rsidRDefault="00D53DF0" w:rsidP="00D53DF0">
            <w:pPr>
              <w:pBdr>
                <w:top w:val="single" w:sz="4" w:space="1" w:color="FFFFFF"/>
                <w:left w:val="single" w:sz="4" w:space="0" w:color="FFFFFF"/>
                <w:bottom w:val="single" w:sz="4" w:space="20" w:color="FFFFFF"/>
                <w:right w:val="single" w:sz="4" w:space="4" w:color="FFFFFF"/>
              </w:pBd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B2974">
              <w:rPr>
                <w:rFonts w:ascii="Times New Roman" w:hAnsi="Times New Roman"/>
                <w:sz w:val="24"/>
                <w:szCs w:val="24"/>
              </w:rPr>
              <w:t>-сельских поселений</w:t>
            </w:r>
            <w:r w:rsidRPr="00AB2974">
              <w:rPr>
                <w:rFonts w:ascii="Times New Roman" w:hAnsi="Times New Roman"/>
                <w:sz w:val="24"/>
                <w:szCs w:val="24"/>
                <w:lang w:val="tt-RU"/>
              </w:rPr>
              <w:t>й -0.</w:t>
            </w:r>
          </w:p>
          <w:bookmarkEnd w:id="2"/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- 100%).</w:t>
            </w:r>
          </w:p>
        </w:tc>
      </w:tr>
      <w:tr w:rsidR="009303A5" w:rsidTr="002B1CE1">
        <w:trPr>
          <w:trHeight w:val="708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     В целях формирования у служащих и работников муниципальных организаций отрицательного отношения к коррупции в работе использовались методические и информационные материалы, полученные от республиканских структур. </w:t>
            </w:r>
          </w:p>
          <w:p w:rsidR="00D53DF0" w:rsidRPr="00D53DF0" w:rsidRDefault="00D53DF0" w:rsidP="00D53DF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      За отчетный период проведены мероприятия антикоррупционной направленности: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63FB">
              <w:rPr>
                <w:rFonts w:ascii="Times New Roman" w:hAnsi="Times New Roman"/>
                <w:sz w:val="24"/>
                <w:szCs w:val="24"/>
              </w:rPr>
              <w:t>36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профилактических бесед с учащимися образовательных организаций; Осуществляется </w:t>
            </w:r>
            <w:r w:rsidRPr="00D53DF0">
              <w:rPr>
                <w:rFonts w:ascii="Times New Roman" w:hAnsi="Times New Roman"/>
                <w:sz w:val="24"/>
                <w:szCs w:val="24"/>
              </w:rPr>
              <w:lastRenderedPageBreak/>
              <w:t>правовое просвещение муниципальных служащих в соответствии с законодательством и оказывается консультативная помощь служащим по вопросам, связанным с применением на практике требований служебному поведению и общих принципов служебного поведения муниципальных служащих. Для проведения данной работы привлекаются представители общественного Совета, Совета ветеранов и других институтов гражданского общества.</w:t>
            </w:r>
          </w:p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(Выполнение индикаторов - 100%).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В Тетюшском муниципальном районе РТ на заседаниях Общественного Совета муниципального района рассматриваются результаты реализации мероприятий муниципальной программы «Реализация антикоррупционной политики в Тетюшском муниципальном районе РТ».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  <w:tr w:rsidR="009303A5" w:rsidTr="002B1CE1">
        <w:trPr>
          <w:trHeight w:val="62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За отчетный период обращений коррупционной направленности не поступало.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Информация о коррупционных проявлениях в деятельности должностных лиц, в средствах массовой информации не размещена. Обращений граждан и юридических лиц о коррупционных нарушениях со стороны муниципальных служащих и должностных лиц органов местного самоуправления не поступала.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3DF0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9303A5" w:rsidRDefault="009303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03A5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антикоррупционной направленности имеются во всех муниципальных учреждениях. Информация обновляется по мере необходимости. </w:t>
            </w:r>
          </w:p>
          <w:p w:rsidR="00D53DF0" w:rsidRPr="00D53DF0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Актуализация информации в разделах «Противодействие коррупции» официальном сайте района проводиться своевременно.</w:t>
            </w:r>
          </w:p>
          <w:p w:rsidR="00D53DF0" w:rsidRPr="00D53DF0" w:rsidRDefault="00D53DF0" w:rsidP="00D53D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Также организовано взаимодействие органов местного самоуправления со средствами массовой информации в сфере противодействия коррупции, систематически ведется целенаправленная работа по формированию антикоррупционного мировоззрения и просвещению населения. На все мероприятия, проводимые в рамках реализации антикоррупционной политики, приглашаются представители СМИ. Представителям СМИ после заседания предоставляется необходимая информация для публикации.</w:t>
            </w:r>
          </w:p>
          <w:p w:rsidR="00D53DF0" w:rsidRPr="00D53DF0" w:rsidRDefault="00D53DF0" w:rsidP="00F41D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3DF0">
              <w:rPr>
                <w:rFonts w:ascii="Times New Roman" w:hAnsi="Times New Roman"/>
                <w:sz w:val="24"/>
                <w:szCs w:val="24"/>
              </w:rPr>
              <w:t>В районной газете периодически публикуются материалы антикоррупционной направленности. Материалы выходят и на телевидении, и на радио, и в газете «Авангард», («</w:t>
            </w:r>
            <w:proofErr w:type="spellStart"/>
            <w:r w:rsidRPr="00D53DF0">
              <w:rPr>
                <w:rFonts w:ascii="Times New Roman" w:hAnsi="Times New Roman"/>
                <w:sz w:val="24"/>
                <w:szCs w:val="24"/>
              </w:rPr>
              <w:t>Тетюшские</w:t>
            </w:r>
            <w:proofErr w:type="spellEnd"/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зори»). В отчетном периоде</w:t>
            </w:r>
            <w:r w:rsidRPr="00D53DF0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53DF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D53DF0">
              <w:rPr>
                <w:rFonts w:ascii="Times New Roman" w:hAnsi="Times New Roman"/>
                <w:sz w:val="24"/>
                <w:szCs w:val="24"/>
              </w:rPr>
              <w:t xml:space="preserve"> материалы по антикоррупционной направленности опубликованы в газете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663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ИТС «Интернет»-</w:t>
            </w:r>
            <w:r w:rsidR="00F41D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663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303A5" w:rsidRDefault="00D53DF0" w:rsidP="00D53D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DF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  <w:tr w:rsidR="009303A5" w:rsidTr="002B1CE1">
        <w:trPr>
          <w:trHeight w:val="601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A5" w:rsidRDefault="00CF59F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B007E3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3">
              <w:rPr>
                <w:rFonts w:ascii="Times New Roman" w:hAnsi="Times New Roman"/>
                <w:sz w:val="24"/>
                <w:szCs w:val="24"/>
              </w:rPr>
              <w:t>Для  эффективного использования бюджетных и внебюджетных средств, развития добросовестной конкуренции, обеспечения гласности и прозрачности, предотвращения коррупции и других злоупотреблений, размещение заказов на поставку товаров, оказание услуг, выполнение работ для муниципальных нужд Тетюшского муниципального района осуществляется в соответствии с Федеральным законом от 05.04.2013 N 44-ФЗ  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Вся информация по проводимым закупкам, находится в открытом доступе на Общероссийском официальном сайте </w:t>
            </w:r>
            <w:hyperlink r:id="rId12" w:history="1">
              <w:r w:rsidRPr="00B007E3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www.zakupki.gov.ru</w:t>
              </w:r>
            </w:hyperlink>
            <w:r w:rsidRPr="00B007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41D78" w:rsidTr="002B1CE1">
        <w:trPr>
          <w:trHeight w:val="37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Организовано проведение мониторинга обращений граждан о проявлениях коррупции в социально-экономических отраслях жизнедеятельности Тетюшского муниципального района. Обращений граждан о проявлениях коррупции в социально-экономических отраслях жизнедеятельности Тетюшского муниципального района не было.</w:t>
            </w: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- 100%).</w:t>
            </w:r>
          </w:p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Организован контроль. Меры юридической ответственности за несоблюдение запретов, ограничений и требований, установленных в целях противодействия коррупции, в органах местного самоуправления муниципального района в отношении муниципальных служащих и лиц, замещающих муниципальные должности в отчетном периоде, не применялись.</w:t>
            </w:r>
          </w:p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  <w:p w:rsidR="00F41D78" w:rsidRDefault="00F41D78" w:rsidP="00F41D78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1D78" w:rsidTr="00F41D78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3" w:anchor="/document/12164203/entry/0" w:history="1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5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78" w:rsidRP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D78">
              <w:rPr>
                <w:rFonts w:ascii="Times New Roman" w:hAnsi="Times New Roman"/>
                <w:sz w:val="24"/>
                <w:szCs w:val="24"/>
              </w:rPr>
              <w:t>В Тетюшском муниципальном районе ответственным лицом за работу по профилактике коррупционных и иных правонарушений осуществляется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интересов. Привлеченных к ответственности за несоблюдение требований в отчетном периоде не имеется.</w:t>
            </w:r>
          </w:p>
          <w:p w:rsidR="00F41D78" w:rsidRDefault="00F41D78" w:rsidP="00F41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1D78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- 100%).</w:t>
            </w:r>
          </w:p>
        </w:tc>
      </w:tr>
    </w:tbl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9303A5" w:rsidRDefault="009303A5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sectPr w:rsidR="009303A5">
      <w:headerReference w:type="default" r:id="rId14"/>
      <w:pgSz w:w="16838" w:h="11906" w:orient="landscape"/>
      <w:pgMar w:top="1077" w:right="567" w:bottom="1021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C1" w:rsidRDefault="001B01C1">
      <w:pPr>
        <w:spacing w:after="0" w:line="240" w:lineRule="auto"/>
      </w:pPr>
      <w:r>
        <w:separator/>
      </w:r>
    </w:p>
  </w:endnote>
  <w:endnote w:type="continuationSeparator" w:id="0">
    <w:p w:rsidR="001B01C1" w:rsidRDefault="001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C1" w:rsidRDefault="001B01C1">
      <w:pPr>
        <w:spacing w:after="0" w:line="240" w:lineRule="auto"/>
      </w:pPr>
      <w:r>
        <w:separator/>
      </w:r>
    </w:p>
  </w:footnote>
  <w:footnote w:type="continuationSeparator" w:id="0">
    <w:p w:rsidR="001B01C1" w:rsidRDefault="001B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A5" w:rsidRDefault="00CF59FF">
    <w:pPr>
      <w:pStyle w:val="af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03A5" w:rsidRDefault="00CF59FF">
                          <w:pPr>
                            <w:pStyle w:val="afc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B2974"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5.95pt;height:13.7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lYywEAAHcDAAAOAAAAZHJzL2Uyb0RvYy54bWysU8GO0zAQvSPxD5bvNE1Rt2zUdAWsipAQ&#10;IC18gOPYjSXbY9neJr3xDXwJF4TEV4Q/Yux0uxHcEDk4M+PJm3lvJtubwWhyFD4osDUtF0tKhOXQ&#10;Knuo6edP+2cvKAmR2ZZpsKKmJxHoze7pk23vKrGCDnQrPEEQG6re1bSL0VVFEXgnDAsLcMLipQRv&#10;WETXH4rWsx7RjS5Wy+VV0YNvnQcuQsDo7XRJdxlfSsHjBymDiETXFHuL+fT5bNJZ7LasOnjmOsXP&#10;bbB/6MIwZbHoBeqWRUbuvfoLyijuIYCMCw6mACkVF5kDsimXf7C565gTmQuKE9xFpvD/YPn740dP&#10;VIuzo8QygyMav/76Mn4ff4w/x29lEqh3ocK8O4eZcXgFQ0o+xwMGE+9BepPeyIjgPUp9usgrhkg4&#10;Bjfr9dWaEo435eb59XVWv3j81vkQ3wgwJBk19Ti8rCk7vgsR62HqQ0oqFUCrdq+0zo4/NK+1J0eG&#10;g97nZ/pWu45N0YdyYUrNeDOMItGc6CQrDs1w5thAe0Lq+q1F4cvVJu3RzPYzu5nZzPIOcNUmEhZe&#10;3keQKhNJBSZU7CI5ON3cz3kT0/rM/Zz1+L/sfgMAAP//AwBQSwMEFAAGAAgAAAAhANOIwbvZAAAA&#10;AwEAAA8AAABkcnMvZG93bnJldi54bWxMj8FuwjAQRO+V+g/WVuqtOCC1kBAHISROVVVBOHBc4m1i&#10;NV6H2JD07+uc2uPOjGbe5pvRtuJOvTeOFcxnCQjiymnDtYJTuX9ZgfABWWPrmBT8kIdN8fiQY6bd&#10;wAe6H0MtYgn7DBU0IXSZlL5qyKKfuY44el+utxji2ddS9zjEctvKRZK8SYuG40KDHe0aqr6PN6tg&#10;SIer39ttbVZlWp4PZqk/Pt+Ven4at2sQgcbwF4YJP6JDEZku7sbai1ZBfCRMqpi8eQriomCxfAVZ&#10;5PI/e/ELAAD//wMAUEsBAi0AFAAGAAgAAAAhALaDOJL+AAAA4QEAABMAAAAAAAAAAAAAAAAAAAAA&#10;AFtDb250ZW50X1R5cGVzXS54bWxQSwECLQAUAAYACAAAACEAOP0h/9YAAACUAQAACwAAAAAAAAAA&#10;AAAAAAAvAQAAX3JlbHMvLnJlbHNQSwECLQAUAAYACAAAACEAO7s5WMsBAAB3AwAADgAAAAAAAAAA&#10;AAAAAAAuAgAAZHJzL2Uyb0RvYy54bWxQSwECLQAUAAYACAAAACEA04jBu9kAAAADAQAADwAAAAAA&#10;AAAAAAAAAAAlBAAAZHJzL2Rvd25yZXYueG1sUEsFBgAAAAAEAAQA8wAAACsFAAAAAA==&#10;" o:allowincell="f" stroked="f">
              <v:fill opacity="0"/>
              <v:textbox inset=".1pt,.1pt,.1pt,.1pt">
                <w:txbxContent>
                  <w:p w:rsidR="009303A5" w:rsidRDefault="00CF59FF">
                    <w:pPr>
                      <w:pStyle w:val="afc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AB2974"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11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A3CBC"/>
    <w:multiLevelType w:val="multilevel"/>
    <w:tmpl w:val="57327E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557BC"/>
    <w:multiLevelType w:val="multilevel"/>
    <w:tmpl w:val="37341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A5"/>
    <w:rsid w:val="00006AC8"/>
    <w:rsid w:val="001B01C1"/>
    <w:rsid w:val="002B1CE1"/>
    <w:rsid w:val="00370DC3"/>
    <w:rsid w:val="00601342"/>
    <w:rsid w:val="0061004F"/>
    <w:rsid w:val="006663FB"/>
    <w:rsid w:val="006E2CC6"/>
    <w:rsid w:val="007276E0"/>
    <w:rsid w:val="008D6F51"/>
    <w:rsid w:val="0092730E"/>
    <w:rsid w:val="009303A5"/>
    <w:rsid w:val="00A51155"/>
    <w:rsid w:val="00A92696"/>
    <w:rsid w:val="00AB2974"/>
    <w:rsid w:val="00CF59FF"/>
    <w:rsid w:val="00D0066C"/>
    <w:rsid w:val="00D53DF0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B105"/>
  <w15:docId w15:val="{5E41B787-6546-4C95-AB26-BF42FA98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  <w:qFormat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  <w:style w:type="paragraph" w:styleId="affb">
    <w:name w:val="No Spacing"/>
    <w:link w:val="affc"/>
    <w:uiPriority w:val="99"/>
    <w:qFormat/>
    <w:rsid w:val="008D6F51"/>
    <w:pPr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c">
    <w:name w:val="Без интервала Знак"/>
    <w:link w:val="affb"/>
    <w:uiPriority w:val="99"/>
    <w:locked/>
    <w:rsid w:val="008D6F5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atch">
    <w:name w:val="match"/>
    <w:rsid w:val="0037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3544</Words>
  <Characters>20206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user</cp:lastModifiedBy>
  <cp:revision>9</cp:revision>
  <cp:lastPrinted>2014-07-16T15:25:00Z</cp:lastPrinted>
  <dcterms:created xsi:type="dcterms:W3CDTF">2025-03-31T13:07:00Z</dcterms:created>
  <dcterms:modified xsi:type="dcterms:W3CDTF">2025-06-30T13:55:00Z</dcterms:modified>
  <dc:language>ru-RU</dc:language>
</cp:coreProperties>
</file>