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7A" w:rsidRDefault="00557C03" w:rsidP="008933F6">
      <w:pPr>
        <w:spacing w:after="0" w:line="36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Приложение   № 1 </w:t>
      </w:r>
    </w:p>
    <w:p w:rsidR="00557C03" w:rsidRPr="00557C03" w:rsidRDefault="00557C03" w:rsidP="008933F6">
      <w:pPr>
        <w:spacing w:after="0" w:line="360" w:lineRule="auto"/>
        <w:jc w:val="right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9B14F6" w:rsidRPr="006E5CF7" w:rsidRDefault="00B14B02" w:rsidP="0072262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 w:themeColor="text1"/>
          <w:sz w:val="28"/>
          <w:szCs w:val="28"/>
          <w:lang w:val="ru" w:eastAsia="ru-RU"/>
        </w:rPr>
      </w:pPr>
      <w:r w:rsidRPr="006E5CF7">
        <w:rPr>
          <w:rFonts w:ascii="Times New Roman" w:eastAsia="Arial Unicode MS" w:hAnsi="Times New Roman" w:cs="Times New Roman"/>
          <w:b/>
          <w:caps/>
          <w:color w:val="000000" w:themeColor="text1"/>
          <w:sz w:val="28"/>
          <w:szCs w:val="28"/>
          <w:lang w:val="ru" w:eastAsia="ru-RU"/>
        </w:rPr>
        <w:t>Типовое техническое задание</w:t>
      </w:r>
    </w:p>
    <w:p w:rsidR="001751C0" w:rsidRDefault="00B14B02" w:rsidP="0072262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5CF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ru" w:eastAsia="ru-RU"/>
        </w:rPr>
        <w:t>на оказание услуг</w:t>
      </w:r>
      <w:r w:rsidR="00DF6D87" w:rsidRPr="006E5CF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ru" w:eastAsia="ru-RU"/>
        </w:rPr>
        <w:t>и</w:t>
      </w:r>
      <w:r w:rsidRPr="006E5CF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" w:eastAsia="ru-RU"/>
        </w:rPr>
        <w:t xml:space="preserve"> </w:t>
      </w:r>
      <w:r w:rsidRPr="006E5CF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ru" w:eastAsia="ru-RU"/>
        </w:rPr>
        <w:t>по сбору, обобщению и анализу информац</w:t>
      </w:r>
      <w:r w:rsidR="001751C0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ru" w:eastAsia="ru-RU"/>
        </w:rPr>
        <w:t>ии для проведения Общественным С</w:t>
      </w:r>
      <w:r w:rsidRPr="006E5CF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ru" w:eastAsia="ru-RU"/>
        </w:rPr>
        <w:t xml:space="preserve">оветом </w:t>
      </w:r>
      <w:r w:rsidR="00083E23" w:rsidRPr="006E5CF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ru" w:eastAsia="ru-RU"/>
        </w:rPr>
        <w:t xml:space="preserve">Тетюшского муниципального района </w:t>
      </w:r>
      <w:r w:rsidR="001751C0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ru" w:eastAsia="ru-RU"/>
        </w:rPr>
        <w:t xml:space="preserve">Республики Татарстан   </w:t>
      </w:r>
      <w:r w:rsidRPr="006E5CF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ru" w:eastAsia="ru-RU"/>
        </w:rPr>
        <w:t>н</w:t>
      </w:r>
      <w:r w:rsidR="004602FD" w:rsidRPr="006E5CF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ru" w:eastAsia="ru-RU"/>
        </w:rPr>
        <w:t xml:space="preserve">езависимой оценки качества </w:t>
      </w:r>
      <w:r w:rsidR="00807C51" w:rsidRPr="006E5CF7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val="x-none" w:eastAsia="ru-RU"/>
        </w:rPr>
        <w:t>оказания услуг организациями</w:t>
      </w:r>
      <w:r w:rsidR="00807C51" w:rsidRPr="006E5CF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ru" w:eastAsia="ru-RU"/>
        </w:rPr>
        <w:t xml:space="preserve"> </w:t>
      </w:r>
      <w:r w:rsidR="000F52DF" w:rsidRPr="006E5CF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культуры</w:t>
      </w:r>
      <w:r w:rsidR="006E5CF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472895" w:rsidRPr="006E5CF7" w:rsidRDefault="006E5CF7" w:rsidP="0072262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Тетюшского </w:t>
      </w:r>
      <w:proofErr w:type="gramStart"/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  Республики Татарстан </w:t>
      </w:r>
    </w:p>
    <w:p w:rsidR="00B14B02" w:rsidRPr="006E5CF7" w:rsidRDefault="004602FD" w:rsidP="0072262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ru" w:eastAsia="ru-RU"/>
        </w:rPr>
      </w:pPr>
      <w:r w:rsidRPr="006E5CF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ru" w:eastAsia="ru-RU"/>
        </w:rPr>
        <w:t>в 20</w:t>
      </w:r>
      <w:r w:rsidR="00083E23" w:rsidRPr="006E5CF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ru" w:eastAsia="ru-RU"/>
        </w:rPr>
        <w:t>16</w:t>
      </w:r>
      <w:r w:rsidR="00B14B02" w:rsidRPr="006E5CF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val="ru" w:eastAsia="ru-RU"/>
        </w:rPr>
        <w:t xml:space="preserve"> году</w:t>
      </w:r>
    </w:p>
    <w:p w:rsidR="008679CC" w:rsidRPr="00971031" w:rsidRDefault="008679CC" w:rsidP="001751C0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B14B02" w:rsidRPr="00971031" w:rsidRDefault="00EC16CD" w:rsidP="004602FD">
      <w:pPr>
        <w:widowControl w:val="0"/>
        <w:numPr>
          <w:ilvl w:val="0"/>
          <w:numId w:val="1"/>
        </w:numPr>
        <w:spacing w:after="0" w:line="360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7103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Общие сведения</w:t>
      </w:r>
    </w:p>
    <w:p w:rsidR="00EC16CD" w:rsidRPr="00971031" w:rsidRDefault="00EC16CD" w:rsidP="0072262E">
      <w:pPr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Наименование предмета закупки: проведение сбора, обобщения и анализа информации о качестве оказания</w:t>
      </w:r>
      <w:r w:rsidR="00D556F2"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услуг организациями, оказывающими </w:t>
      </w:r>
      <w:r w:rsidR="00D556F2"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услуги</w:t>
      </w:r>
      <w:r w:rsidR="00D556F2"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 сфере</w:t>
      </w:r>
      <w:r w:rsidR="00083E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культуры</w:t>
      </w:r>
      <w:r w:rsidR="001C657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Центральная библиотека,</w:t>
      </w:r>
      <w:r w:rsidR="0053597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Детская библиотека</w:t>
      </w:r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proofErr w:type="spellStart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Алекино</w:t>
      </w:r>
      <w:proofErr w:type="spellEnd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-Полянский СДК,</w:t>
      </w:r>
      <w:r w:rsidR="0053597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53597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Алекино</w:t>
      </w:r>
      <w:proofErr w:type="spellEnd"/>
      <w:r w:rsidR="0053597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-Полянская МПБ, </w:t>
      </w:r>
      <w:proofErr w:type="spellStart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Алабердинский</w:t>
      </w:r>
      <w:proofErr w:type="spellEnd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СДК, </w:t>
      </w:r>
      <w:proofErr w:type="spellStart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Алабердинская</w:t>
      </w:r>
      <w:proofErr w:type="spellEnd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МПБ, </w:t>
      </w:r>
      <w:proofErr w:type="spellStart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Богдашкинский</w:t>
      </w:r>
      <w:proofErr w:type="spellEnd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СДК, </w:t>
      </w:r>
      <w:proofErr w:type="spellStart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Богдашкинский</w:t>
      </w:r>
      <w:proofErr w:type="spellEnd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МПБ, </w:t>
      </w:r>
      <w:proofErr w:type="spellStart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Большеатрясская</w:t>
      </w:r>
      <w:proofErr w:type="spellEnd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МПБ, </w:t>
      </w:r>
      <w:proofErr w:type="spellStart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Большеатрясский</w:t>
      </w:r>
      <w:proofErr w:type="spellEnd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СДК, Жуковская МПБ, Жуковский СДК, </w:t>
      </w:r>
      <w:proofErr w:type="spellStart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Кильдюшевский</w:t>
      </w:r>
      <w:proofErr w:type="spellEnd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СДК, </w:t>
      </w:r>
      <w:proofErr w:type="spellStart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Кильдюшевская</w:t>
      </w:r>
      <w:proofErr w:type="spellEnd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МПБ, Монастырский СДК, Монастырская МПБ, </w:t>
      </w:r>
      <w:proofErr w:type="spellStart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Ямбухтинский</w:t>
      </w:r>
      <w:proofErr w:type="spellEnd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СДК, </w:t>
      </w:r>
      <w:proofErr w:type="spellStart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Ямбухтинская</w:t>
      </w:r>
      <w:proofErr w:type="spellEnd"/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МПБ </w:t>
      </w:r>
      <w:r w:rsidR="00AB7622"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(далее – оцениваемые организации)</w:t>
      </w:r>
      <w:r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расположенными на территории </w:t>
      </w:r>
      <w:r w:rsidR="000F52D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Тетюшского муниципального района   </w:t>
      </w:r>
      <w:r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Республики Татарстан</w:t>
      </w:r>
      <w:r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</w:t>
      </w:r>
      <w:r w:rsidR="00D556F2"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для</w:t>
      </w:r>
      <w:r w:rsidR="001751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556F2"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проведения Общественным советом </w:t>
      </w:r>
      <w:r w:rsidR="001751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Тетюшского муниципального района</w:t>
      </w:r>
      <w:r w:rsidR="00EB64B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1751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Республики Татарстан  </w:t>
      </w:r>
      <w:r w:rsidR="00D556F2"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независимой оценки качества в 20</w:t>
      </w:r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16</w:t>
      </w:r>
      <w:r w:rsidR="00D556F2"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году (далее – услуг</w:t>
      </w:r>
      <w:r w:rsidR="00380E82"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="00380E82"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) </w:t>
      </w:r>
      <w:r w:rsidR="00D556F2"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 соответствии с требованиями Федерального закона </w:t>
      </w:r>
      <w:r w:rsidR="00D34CBB"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от 21 июля 2014</w:t>
      </w:r>
      <w:r w:rsidR="00D34CBB"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="00D556F2"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</w:t>
      </w:r>
      <w:r w:rsidR="00380E82"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охраны здоровья и образования».</w:t>
      </w:r>
    </w:p>
    <w:p w:rsidR="00EC16CD" w:rsidRPr="00971031" w:rsidRDefault="00EC16CD" w:rsidP="00EC16CD">
      <w:pPr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</w:pPr>
      <w:r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Заказчик услуг</w:t>
      </w:r>
      <w:r w:rsidR="00DF6D8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="00380E82"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Исполнительный комитет Тетюшского муниципального района</w:t>
      </w:r>
      <w:r w:rsidR="001751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Республики Татарстан</w:t>
      </w:r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38787A"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</w:p>
    <w:p w:rsidR="00EC16CD" w:rsidRPr="00971031" w:rsidRDefault="00380E82" w:rsidP="00EC16CD">
      <w:pPr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Источник финансирования:</w:t>
      </w:r>
      <w:r w:rsidR="00EC16CD"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местный бюджет</w:t>
      </w:r>
      <w:r w:rsidR="00EC16CD"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B14B02" w:rsidRPr="00971031" w:rsidRDefault="00B14B02" w:rsidP="00EC16CD">
      <w:pPr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Место оказания услуг</w:t>
      </w:r>
      <w:r w:rsidR="00DF6D8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: </w:t>
      </w:r>
      <w:r w:rsidR="004602FD"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Республика Татарстан</w:t>
      </w:r>
      <w:r w:rsidR="000F52D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Тетюшский муниципальный район.</w:t>
      </w:r>
    </w:p>
    <w:p w:rsidR="00B14B02" w:rsidRPr="00971031" w:rsidRDefault="00B14B02" w:rsidP="00EC16CD">
      <w:pPr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>Срок оказания услуг</w:t>
      </w:r>
      <w:r w:rsidR="00DF6D8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: с момента заключения </w:t>
      </w:r>
      <w:r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договора</w:t>
      </w:r>
      <w:r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до </w:t>
      </w:r>
      <w:r w:rsidR="00D230A4" w:rsidRPr="00D230A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="00D230A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31</w:t>
      </w:r>
      <w:r w:rsidR="00D230A4" w:rsidRPr="00D230A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="00FF6F6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="00D230A4" w:rsidRPr="00D230A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декабря</w:t>
      </w:r>
      <w:r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</w:t>
      </w:r>
      <w:r w:rsidR="00FF6F67" w:rsidRPr="00D230A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16</w:t>
      </w:r>
      <w:r w:rsidRPr="009710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года.</w:t>
      </w:r>
    </w:p>
    <w:p w:rsidR="008679CC" w:rsidRPr="000F52DF" w:rsidRDefault="008679CC" w:rsidP="000F52DF">
      <w:pPr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B14B02" w:rsidRPr="00971031" w:rsidRDefault="00B14B02" w:rsidP="004602FD">
      <w:pPr>
        <w:widowControl w:val="0"/>
        <w:numPr>
          <w:ilvl w:val="0"/>
          <w:numId w:val="1"/>
        </w:numPr>
        <w:spacing w:after="0" w:line="360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97103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Цель оказания услуг</w:t>
      </w:r>
      <w:r w:rsidR="00C537EA" w:rsidRPr="0097103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</w:t>
      </w:r>
    </w:p>
    <w:p w:rsidR="002120E3" w:rsidRPr="00971031" w:rsidRDefault="00B14B02" w:rsidP="00C5039C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Целью оказания услуг</w:t>
      </w:r>
      <w:r w:rsidR="008679CC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и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является </w:t>
      </w:r>
      <w:r w:rsidR="00380E82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формирование </w:t>
      </w:r>
      <w:proofErr w:type="gramStart"/>
      <w:r w:rsidR="00380E82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проектов оценки качества оказания социальных услуг</w:t>
      </w:r>
      <w:proofErr w:type="gramEnd"/>
      <w:r w:rsidR="00380E82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</w:t>
      </w:r>
      <w:r w:rsidR="00C5039C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оцениваемыми организациями </w:t>
      </w:r>
      <w:r w:rsidR="00380E82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и </w:t>
      </w:r>
      <w:r w:rsidR="00DF6D87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их </w:t>
      </w:r>
      <w:r w:rsidR="00380E82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рейтингов </w:t>
      </w:r>
      <w:r w:rsidR="00D678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для проведения Общественным С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оветом </w:t>
      </w:r>
      <w:r w:rsidR="00FF6F67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Тетюшского муниципального района</w:t>
      </w:r>
      <w:r w:rsidR="004602FD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</w:t>
      </w:r>
      <w:r w:rsidR="00D678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Республики Татарстан 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независимой оценки качества в 20</w:t>
      </w:r>
      <w:r w:rsidR="00FF6F67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16</w:t>
      </w:r>
      <w:r w:rsidR="008B5EFF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году. 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</w:t>
      </w:r>
    </w:p>
    <w:p w:rsidR="00CD00E7" w:rsidRPr="00D57E3C" w:rsidRDefault="00C537EA" w:rsidP="00D57E3C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оценки являются</w:t>
      </w:r>
      <w:r w:rsidR="00F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18 </w:t>
      </w:r>
      <w:r w:rsidR="00F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79CC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9CC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 услуги в сфере</w:t>
      </w:r>
      <w:r w:rsidR="00F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</w:t>
      </w:r>
      <w:r w:rsidR="002120E3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0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Тетюшского муниципального  </w:t>
      </w:r>
      <w:r w:rsidR="008679CC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D67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которых Общественным С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F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Тетюшского муниципального района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независимая оценка качества оказания услуг в 20</w:t>
      </w:r>
      <w:r w:rsidR="00FF6F6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8679CC" w:rsidRPr="00971031" w:rsidRDefault="007F586D" w:rsidP="008679CC">
      <w:pPr>
        <w:pStyle w:val="a7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оказываем</w:t>
      </w:r>
      <w:r w:rsidR="00CD00E7" w:rsidRPr="0097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97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  <w:r w:rsidR="00CD00E7" w:rsidRPr="0097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537EA" w:rsidRPr="0097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00C4" w:rsidRPr="00971031" w:rsidRDefault="00C400C4" w:rsidP="008679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оцениваемых организаций приведен в </w:t>
      </w:r>
      <w:proofErr w:type="gramStart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37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679CC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2A17E5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6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Типовому т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ехническому заданию.</w:t>
      </w:r>
    </w:p>
    <w:p w:rsidR="00CD6604" w:rsidRPr="00971031" w:rsidRDefault="007F586D" w:rsidP="007F586D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37EA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настоящим </w:t>
      </w:r>
      <w:r w:rsidR="008679CC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D36B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иповым т</w:t>
      </w:r>
      <w:r w:rsidR="00E0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ехническим заданием </w:t>
      </w:r>
      <w:r w:rsidR="00EB6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D6604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604" w:rsidRPr="00971031" w:rsidRDefault="00F60899" w:rsidP="007F586D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537EA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сбор, обобщение и анализ информации о качестве оказания услуг </w:t>
      </w:r>
      <w:r w:rsidR="002A17E5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оцениваемыми </w:t>
      </w:r>
      <w:r w:rsidR="00C537EA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CD6604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0899" w:rsidRPr="00971031" w:rsidRDefault="00F60899" w:rsidP="007F586D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537EA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независимой оценки качества оказания услуг </w:t>
      </w:r>
      <w:r w:rsidR="002A17E5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оцениваемыми организациями,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включая:</w:t>
      </w:r>
    </w:p>
    <w:p w:rsidR="00F60899" w:rsidRPr="00971031" w:rsidRDefault="00C537EA" w:rsidP="007F586D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методики проведения оценки, в т</w:t>
      </w:r>
      <w:r w:rsidR="00CD6604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</w:t>
      </w:r>
      <w:r w:rsidR="002120E3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исание методов и инструментария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сбора, обработки, интерпретации информации о деятельности </w:t>
      </w:r>
      <w:r w:rsidR="00F45010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оцениваемых организаций</w:t>
      </w:r>
      <w:r w:rsidR="00F60899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0899" w:rsidRPr="00971031" w:rsidRDefault="00C537EA" w:rsidP="007F586D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нормативн</w:t>
      </w:r>
      <w:r w:rsidR="008D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актов, регулирующих деятельность</w:t>
      </w:r>
      <w:r w:rsidR="002120E3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DA5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20E3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 размещенной информации о деятельности </w:t>
      </w:r>
      <w:r w:rsidR="00F45010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оцениваемых организаций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их официальных сайтах в </w:t>
      </w:r>
      <w:r w:rsidR="008D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F60899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F60899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сеть «Интернет»)</w:t>
      </w:r>
      <w:r w:rsidR="00F60899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0899" w:rsidRPr="00971031" w:rsidRDefault="00C537EA" w:rsidP="007F586D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информации о деятельности </w:t>
      </w:r>
      <w:r w:rsidR="00F45010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оцениваемых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на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информационных стендах в помещениях </w:t>
      </w:r>
      <w:r w:rsidR="00F60899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размещение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брошюрах, буклетах</w:t>
      </w:r>
      <w:r w:rsidR="00F60899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0899" w:rsidRPr="00971031" w:rsidRDefault="00C537EA" w:rsidP="007F586D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gramStart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оценки качества предоставления социальных услуг</w:t>
      </w:r>
      <w:proofErr w:type="gramEnd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рейтингов</w:t>
      </w:r>
      <w:r w:rsidR="00F45010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оцениваемых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F60899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00E7" w:rsidRPr="00971031" w:rsidRDefault="00C537EA" w:rsidP="007F586D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отчетов </w:t>
      </w:r>
      <w:r w:rsidR="00EB64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аказчику.</w:t>
      </w:r>
      <w:r w:rsidR="006B56A9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010" w:rsidRPr="00971031" w:rsidRDefault="00F45010" w:rsidP="007F586D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3B9" w:rsidRPr="00971031" w:rsidRDefault="008651B2" w:rsidP="00F45010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7103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Т</w:t>
      </w:r>
      <w:r w:rsidR="008C00C0" w:rsidRPr="0097103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ребования к оказываем</w:t>
      </w:r>
      <w:r w:rsidR="00CD00E7" w:rsidRPr="0097103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ой</w:t>
      </w:r>
      <w:r w:rsidR="008C00C0" w:rsidRPr="0097103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услуг</w:t>
      </w:r>
      <w:r w:rsidR="00CD00E7" w:rsidRPr="0097103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е</w:t>
      </w:r>
    </w:p>
    <w:p w:rsidR="008B5EFF" w:rsidRPr="00971031" w:rsidRDefault="00B758CC" w:rsidP="00044B81">
      <w:pPr>
        <w:pStyle w:val="a7"/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proofErr w:type="gramStart"/>
      <w:r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</w:t>
      </w:r>
      <w:r w:rsidR="00D80B75"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ценка качества выполняется в соответствии с требованиями Федерального закона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</w:t>
      </w:r>
      <w:r w:rsidR="00F45010"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культуры, социального</w:t>
      </w:r>
      <w:r w:rsidR="00D80B75"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обслуживания, охраны здоровья и образования».</w:t>
      </w:r>
      <w:proofErr w:type="gramEnd"/>
    </w:p>
    <w:p w:rsidR="003647FA" w:rsidRPr="00971031" w:rsidRDefault="00B423B9" w:rsidP="00F45010">
      <w:pPr>
        <w:pStyle w:val="a7"/>
        <w:widowControl w:val="0"/>
        <w:numPr>
          <w:ilvl w:val="1"/>
          <w:numId w:val="1"/>
        </w:numPr>
        <w:spacing w:after="0" w:line="360" w:lineRule="auto"/>
        <w:ind w:left="0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Требования к используем</w:t>
      </w:r>
      <w:r w:rsidR="008B5EFF"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ым</w:t>
      </w:r>
      <w:r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8B5EFF" w:rsidRPr="009710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критериям оценки качества</w:t>
      </w:r>
    </w:p>
    <w:p w:rsidR="008651B2" w:rsidRPr="00971031" w:rsidRDefault="008651B2" w:rsidP="00865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услуг</w:t>
      </w:r>
      <w:r w:rsidR="00F45010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</w:t>
      </w:r>
      <w:r w:rsidR="00C45437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45437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1B2" w:rsidRPr="00971031" w:rsidRDefault="00B758CC" w:rsidP="008651B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п</w:t>
      </w:r>
      <w:r w:rsidR="008651B2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еречень показателей</w:t>
      </w:r>
      <w:r w:rsidR="003647FA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, </w:t>
      </w:r>
      <w:r w:rsidR="00F45010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характеризующих общие</w:t>
      </w:r>
      <w:r w:rsidR="008651B2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критерии оценки качества оказания услуг </w:t>
      </w:r>
      <w:r w:rsidR="00F45010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оцениваемыми </w:t>
      </w:r>
      <w:r w:rsidR="008651B2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организациями </w:t>
      </w:r>
      <w:r w:rsidR="003647FA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(</w:t>
      </w:r>
      <w:r w:rsidR="008651B2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представлен в приложении №</w:t>
      </w:r>
      <w:r w:rsidR="000D3764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2</w:t>
      </w:r>
      <w:r w:rsidR="00E04246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к </w:t>
      </w:r>
      <w:r w:rsidR="008D36B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настоящему </w:t>
      </w:r>
      <w:r w:rsidR="00E04246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Т</w:t>
      </w:r>
      <w:r w:rsidR="008D36B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иповому т</w:t>
      </w:r>
      <w:r w:rsidR="00E04246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ехническому заданию</w:t>
      </w:r>
      <w:r w:rsidR="003647FA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);</w:t>
      </w:r>
    </w:p>
    <w:p w:rsidR="008651B2" w:rsidRPr="00971031" w:rsidRDefault="00B758CC" w:rsidP="008651B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п</w:t>
      </w:r>
      <w:r w:rsidR="008C00C0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еречень д</w:t>
      </w:r>
      <w:r w:rsidR="008651B2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ополнительны</w:t>
      </w:r>
      <w:r w:rsidR="008C00C0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х </w:t>
      </w:r>
      <w:r w:rsidR="008651B2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показателей характеризующие общие критерии оценки качества оказания услуг</w:t>
      </w:r>
      <w:r w:rsidR="00F45010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оцениваемыми</w:t>
      </w:r>
      <w:r w:rsidR="008651B2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организациями </w:t>
      </w:r>
      <w:r w:rsidR="003647FA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(</w:t>
      </w:r>
      <w:r w:rsidR="008C00C0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приведен </w:t>
      </w:r>
      <w:r w:rsidR="008651B2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в приложении №</w:t>
      </w:r>
      <w:r w:rsidR="000D3764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3</w:t>
      </w:r>
      <w:r w:rsidR="00E04246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к </w:t>
      </w:r>
      <w:r w:rsidR="008D36BD" w:rsidRPr="008D36B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настоящему Типовому техническому</w:t>
      </w:r>
      <w:r w:rsidR="00E04246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заданию</w:t>
      </w:r>
      <w:r w:rsidR="003647FA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)</w:t>
      </w:r>
      <w:r w:rsidR="008651B2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</w:t>
      </w:r>
    </w:p>
    <w:p w:rsidR="00334224" w:rsidRPr="00971031" w:rsidRDefault="008B5EFF" w:rsidP="00F45010">
      <w:pPr>
        <w:pStyle w:val="a7"/>
        <w:widowControl w:val="0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Требования к используемой информации</w:t>
      </w:r>
    </w:p>
    <w:p w:rsidR="003647FA" w:rsidRPr="00971031" w:rsidRDefault="00216A9E" w:rsidP="008651B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Для оценки </w:t>
      </w:r>
      <w:r w:rsidR="00B758CC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качества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используются:</w:t>
      </w:r>
    </w:p>
    <w:p w:rsidR="00216A9E" w:rsidRPr="00971031" w:rsidRDefault="00216A9E" w:rsidP="00F45010">
      <w:pPr>
        <w:pStyle w:val="a7"/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нормативны</w:t>
      </w:r>
      <w:r w:rsidR="00530206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е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правовы</w:t>
      </w:r>
      <w:r w:rsidR="00530206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е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акт</w:t>
      </w:r>
      <w:r w:rsidR="00530206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ы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, устанавливающи</w:t>
      </w:r>
      <w:r w:rsidR="00530206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е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значения рассматриваемых параметров деятельности организаций;</w:t>
      </w:r>
    </w:p>
    <w:p w:rsidR="00216A9E" w:rsidRPr="00971031" w:rsidRDefault="00334224" w:rsidP="00216A9E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2)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данны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е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, размещенны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е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на официальном сайте </w:t>
      </w:r>
      <w:r w:rsidR="00F45010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оцениваемой организации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;</w:t>
      </w:r>
    </w:p>
    <w:p w:rsidR="00216A9E" w:rsidRPr="00971031" w:rsidRDefault="00334224" w:rsidP="0033422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3)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данны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е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на официальном сайте для размещения информации о государственных и муниципальных учреждениях в сети «Интернет» </w:t>
      </w:r>
      <w:hyperlink r:id="rId9" w:history="1">
        <w:r w:rsidR="00216A9E" w:rsidRPr="00971031">
          <w:rPr>
            <w:rFonts w:ascii="Times New Roman" w:eastAsia="Arial Unicode MS" w:hAnsi="Times New Roman" w:cs="Times New Roman"/>
            <w:sz w:val="28"/>
            <w:szCs w:val="28"/>
            <w:lang w:val="ru" w:eastAsia="ru-RU"/>
          </w:rPr>
          <w:t>www.bus.gov.ru</w:t>
        </w:r>
      </w:hyperlink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;</w:t>
      </w:r>
    </w:p>
    <w:p w:rsidR="00216A9E" w:rsidRPr="00971031" w:rsidRDefault="00334224" w:rsidP="00216A9E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4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) результаты </w:t>
      </w:r>
      <w:proofErr w:type="gramStart"/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анализа статистической информации органов исполнительной власти Республики</w:t>
      </w:r>
      <w:proofErr w:type="gramEnd"/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</w:t>
      </w:r>
      <w:r w:rsidR="00F45010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Татарстан, органов местного </w:t>
      </w:r>
      <w:r w:rsidR="00F45010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lastRenderedPageBreak/>
        <w:t>самоуправления и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</w:t>
      </w:r>
      <w:r w:rsidR="00F45010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оцениваемых 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организаций;</w:t>
      </w:r>
    </w:p>
    <w:p w:rsidR="00530206" w:rsidRPr="00971031" w:rsidRDefault="00530206" w:rsidP="00216A9E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5) результаты оценки исполнения государственных</w:t>
      </w:r>
      <w:r w:rsidR="00F45010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, муниципальных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заданий, оценки соответствия фактических значений показателей качества услуг, предоставляемых организациями, значениям, установленным стандартами качества;</w:t>
      </w:r>
    </w:p>
    <w:p w:rsidR="00216A9E" w:rsidRPr="00971031" w:rsidRDefault="002065AE" w:rsidP="00216A9E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6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) результаты опроса (глубинное и формализованное, полуформализованное интервьюирование, интервью, проводимые в порядке </w:t>
      </w:r>
      <w:proofErr w:type="spellStart"/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самообследования</w:t>
      </w:r>
      <w:proofErr w:type="spellEnd"/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организаций, анкетирование, проведение </w:t>
      </w:r>
      <w:proofErr w:type="gramStart"/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фокус-групп</w:t>
      </w:r>
      <w:proofErr w:type="gramEnd"/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):</w:t>
      </w:r>
    </w:p>
    <w:p w:rsidR="00216A9E" w:rsidRPr="00971031" w:rsidRDefault="00216A9E" w:rsidP="00216A9E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получателей услуг;</w:t>
      </w:r>
    </w:p>
    <w:p w:rsidR="00216A9E" w:rsidRPr="00971031" w:rsidRDefault="00216A9E" w:rsidP="00216A9E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работников организаций;</w:t>
      </w:r>
    </w:p>
    <w:p w:rsidR="00216A9E" w:rsidRPr="00971031" w:rsidRDefault="00216A9E" w:rsidP="00216A9E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представителей общественных объединений, эксперт</w:t>
      </w:r>
      <w:r w:rsidR="00B758CC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ного сообщества;</w:t>
      </w:r>
    </w:p>
    <w:p w:rsidR="00216A9E" w:rsidRPr="00971031" w:rsidRDefault="002065AE" w:rsidP="00216A9E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7</w:t>
      </w:r>
      <w:r w:rsidR="001E0505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) 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информаци</w:t>
      </w:r>
      <w:r w:rsidR="001E0505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я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попечительских (общественных, наблюдательных) советов </w:t>
      </w:r>
      <w:r w:rsidR="001E0505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оцениваемых 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организаций;</w:t>
      </w:r>
    </w:p>
    <w:p w:rsidR="003647FA" w:rsidRPr="00971031" w:rsidRDefault="002065AE" w:rsidP="008651B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8</w:t>
      </w:r>
      <w:r w:rsidR="001E0505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) 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информаци</w:t>
      </w:r>
      <w:r w:rsidR="001E0505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я</w:t>
      </w:r>
      <w:r w:rsidR="00216A9E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рейтинговых агентств, средств массовой информации.</w:t>
      </w:r>
    </w:p>
    <w:p w:rsidR="00216A9E" w:rsidRPr="00971031" w:rsidRDefault="00216A9E" w:rsidP="00B7628C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proofErr w:type="gramStart"/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Все информационные источники, используемые для </w:t>
      </w:r>
      <w:r w:rsidR="008B5EFF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оценки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, должны быть открытыми, а также предусматривать возможность уточнения и</w:t>
      </w:r>
      <w:r w:rsidR="008D36B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(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или</w:t>
      </w:r>
      <w:r w:rsidR="008D36B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)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проверки представляемых данных </w:t>
      </w:r>
      <w:r w:rsidRPr="006E5CF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" w:eastAsia="ru-RU"/>
        </w:rPr>
        <w:t>(ведомственной статистики, базы данных, мнения обучающихся, учителей и родителей (законных представителей) и т.п.).</w:t>
      </w:r>
      <w:proofErr w:type="gramEnd"/>
    </w:p>
    <w:p w:rsidR="00807C51" w:rsidRPr="00971031" w:rsidRDefault="007C4F8E" w:rsidP="001E0505">
      <w:pPr>
        <w:pStyle w:val="a7"/>
        <w:widowControl w:val="0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Требования к метод</w:t>
      </w:r>
      <w:r w:rsidR="00807C51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ике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</w:t>
      </w:r>
      <w:r w:rsidR="00807C51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проведения оценки качества</w:t>
      </w:r>
    </w:p>
    <w:p w:rsidR="00807C51" w:rsidRPr="00971031" w:rsidRDefault="00807C51" w:rsidP="00530206">
      <w:pPr>
        <w:pStyle w:val="a7"/>
        <w:widowControl w:val="0"/>
        <w:numPr>
          <w:ilvl w:val="2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Оценка качества </w:t>
      </w:r>
      <w:r w:rsidRPr="00971031">
        <w:rPr>
          <w:rFonts w:ascii="Times New Roman" w:eastAsia="Arial Unicode MS" w:hAnsi="Times New Roman" w:cs="Times New Roman"/>
          <w:bCs/>
          <w:sz w:val="28"/>
          <w:szCs w:val="28"/>
          <w:lang w:val="x-none" w:eastAsia="ru-RU"/>
        </w:rPr>
        <w:t xml:space="preserve">оказания услуг </w:t>
      </w:r>
      <w:r w:rsidR="001E0505"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оцениваемыми </w:t>
      </w:r>
      <w:r w:rsidRPr="00971031">
        <w:rPr>
          <w:rFonts w:ascii="Times New Roman" w:eastAsia="Arial Unicode MS" w:hAnsi="Times New Roman" w:cs="Times New Roman"/>
          <w:bCs/>
          <w:sz w:val="28"/>
          <w:szCs w:val="28"/>
          <w:lang w:val="x-none" w:eastAsia="ru-RU"/>
        </w:rPr>
        <w:t>организациями</w:t>
      </w:r>
      <w:r w:rsidR="00C400C4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должна выполняться с</w:t>
      </w:r>
      <w:r w:rsidR="00776DA5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и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спользованием инструментария, включающего:</w:t>
      </w:r>
    </w:p>
    <w:p w:rsidR="00776DA5" w:rsidRPr="00971031" w:rsidRDefault="00776DA5" w:rsidP="00C400C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порядок сбора информации, в том числе </w:t>
      </w:r>
      <w:r w:rsidR="001E0505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проведения опросов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(глубинное и формализованное, полуформализованное интервьюирование, интервью, проводимые в порядке </w:t>
      </w:r>
      <w:proofErr w:type="spellStart"/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самообследования</w:t>
      </w:r>
      <w:proofErr w:type="spellEnd"/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организаций, анкетирование, проведение </w:t>
      </w:r>
      <w:proofErr w:type="gramStart"/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фокус-групп</w:t>
      </w:r>
      <w:proofErr w:type="gramEnd"/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);</w:t>
      </w:r>
    </w:p>
    <w:p w:rsidR="00776DA5" w:rsidRPr="00971031" w:rsidRDefault="00776DA5" w:rsidP="00C400C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методику анализа информации, в том числе описание структуры базы данных, </w:t>
      </w:r>
      <w:r w:rsidR="001E0505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содержащей собранную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информацию, алгоритмы, информационны</w:t>
      </w:r>
      <w:r w:rsidR="00044B81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е 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технологи</w:t>
      </w:r>
      <w:r w:rsidR="00044B81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и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обработки информации</w:t>
      </w:r>
      <w:r w:rsidR="00044B81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(при необходимости)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;</w:t>
      </w:r>
    </w:p>
    <w:p w:rsidR="007C4F8E" w:rsidRPr="00971031" w:rsidRDefault="00044B81" w:rsidP="00B7628C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порядок формирования рейтингов организаций.</w:t>
      </w:r>
    </w:p>
    <w:p w:rsidR="000B4675" w:rsidRPr="00971031" w:rsidRDefault="000B4675" w:rsidP="00530206">
      <w:pPr>
        <w:pStyle w:val="a7"/>
        <w:widowControl w:val="0"/>
        <w:numPr>
          <w:ilvl w:val="2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971031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Совокупность инструментария по сбору </w:t>
      </w:r>
      <w:r w:rsidR="001E0505"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информации должна</w:t>
      </w:r>
      <w:r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 xml:space="preserve">позволить получить объективную информацию о качестве оказания услуг </w:t>
      </w:r>
      <w:r w:rsidR="001E0505"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оцениваемыми </w:t>
      </w:r>
      <w:r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организациями для формирования предложени</w:t>
      </w:r>
      <w:r w:rsidR="008D36B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й</w:t>
      </w:r>
      <w:r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об улучшении качества деятельности </w:t>
      </w:r>
      <w:r w:rsidR="001E0505"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оцениваемых организаций</w:t>
      </w:r>
      <w:r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проект</w:t>
      </w:r>
      <w:r w:rsidR="008D36B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ов</w:t>
      </w:r>
      <w:r w:rsidR="001E0505"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их рейтингов.</w:t>
      </w:r>
    </w:p>
    <w:p w:rsidR="007E4881" w:rsidRPr="00971031" w:rsidRDefault="007E4881" w:rsidP="00530206">
      <w:pPr>
        <w:pStyle w:val="a7"/>
        <w:widowControl w:val="0"/>
        <w:numPr>
          <w:ilvl w:val="2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</w:pPr>
      <w:r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Оценка содержания и формы представления информации о деятельности организаций, размещаемой на официальных сайтах </w:t>
      </w:r>
      <w:r w:rsidR="001E0505"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оцениваемых организаций, выполняется</w:t>
      </w:r>
      <w:r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соответствии с требованиями, установленными </w:t>
      </w:r>
      <w:r w:rsidR="001E0505"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приказом </w:t>
      </w:r>
      <w:r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F84436" w:rsidRPr="00F84436">
        <w:rPr>
          <w:rFonts w:ascii="Times New Roman" w:hAnsi="Times New Roman" w:cs="Times New Roman"/>
          <w:sz w:val="28"/>
          <w:szCs w:val="28"/>
          <w:lang w:val="ru"/>
        </w:rPr>
        <w:t>Минкультуры России от 25 февраля 2015 г. № 288 «Об утверждении показателей, характеризующих общие критерии оценки качества оказания услуг организациями культуры»</w:t>
      </w:r>
      <w:r w:rsidRPr="00F8443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216A9E" w:rsidRPr="00971031" w:rsidRDefault="008B5EFF" w:rsidP="001E0505">
      <w:pPr>
        <w:pStyle w:val="a7"/>
        <w:widowControl w:val="0"/>
        <w:numPr>
          <w:ilvl w:val="2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proofErr w:type="gramStart"/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К оценке качества </w:t>
      </w:r>
      <w:r w:rsidR="001E0505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оказания услуг оцениваемыми организациями 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привлекаются общественные и общественно-профессиональные организации, негосударственные, автономные некоммерческие организации, отдельные физические лица в качестве экспертов, специализирующихся на вопросах оценки качества </w:t>
      </w:r>
      <w:r w:rsidR="001E0505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в сфере </w:t>
      </w:r>
      <w:r w:rsidR="00F84436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культуры</w:t>
      </w:r>
      <w:r w:rsidR="001E0505"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</w:t>
      </w:r>
      <w:proofErr w:type="gramEnd"/>
    </w:p>
    <w:p w:rsidR="008B5EFF" w:rsidRPr="00971031" w:rsidRDefault="007C4F8E" w:rsidP="00C45437">
      <w:pPr>
        <w:pStyle w:val="a7"/>
        <w:widowControl w:val="0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B5EFF"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Требования к результатам </w:t>
      </w:r>
      <w:r w:rsidR="000B4675"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оценки качества </w:t>
      </w:r>
    </w:p>
    <w:p w:rsidR="008B5EFF" w:rsidRPr="00971031" w:rsidRDefault="008B5EFF" w:rsidP="003907FC">
      <w:pPr>
        <w:pStyle w:val="a7"/>
        <w:widowControl w:val="0"/>
        <w:numPr>
          <w:ilvl w:val="2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Результаты </w:t>
      </w:r>
      <w:r w:rsidR="00601417"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оценки </w:t>
      </w:r>
      <w:r w:rsidR="00C45437"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качества оказания услуг оцениваемыми организациями должны</w:t>
      </w:r>
      <w:r w:rsidR="00601417"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обеспечить информационную </w:t>
      </w:r>
      <w:r w:rsidR="00C45437"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потребность различных</w:t>
      </w:r>
      <w:r w:rsidRPr="0097103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групп пользователей для решения актуальных профессиональных и личных задач, в том числе:</w:t>
      </w:r>
    </w:p>
    <w:p w:rsidR="00A42252" w:rsidRPr="00B82949" w:rsidRDefault="00A42252" w:rsidP="00A42252">
      <w:pPr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B82949"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eastAsia="ru-RU"/>
        </w:rPr>
        <w:t>получатели услуг</w:t>
      </w:r>
      <w:r w:rsidR="00BD20AA" w:rsidRPr="00B82949"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eastAsia="ru-RU"/>
        </w:rPr>
        <w:t>и</w:t>
      </w:r>
      <w:r w:rsidRPr="00B82949"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eastAsia="ru-RU"/>
        </w:rPr>
        <w:t>:</w:t>
      </w:r>
    </w:p>
    <w:p w:rsidR="00A42252" w:rsidRPr="00B82949" w:rsidRDefault="00A42252" w:rsidP="00A4225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B82949"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eastAsia="ru-RU"/>
        </w:rPr>
        <w:t>для обеспечения дополнительной информацией о качестве работы организаций культуры, в том числе путем формирования рейтингов деятельности организаций культуры;</w:t>
      </w:r>
    </w:p>
    <w:p w:rsidR="00A42252" w:rsidRPr="00B82949" w:rsidRDefault="00A42252" w:rsidP="00A4225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B82949"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B82949"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eastAsia="ru-RU"/>
        </w:rPr>
        <w:t>целях</w:t>
      </w:r>
      <w:proofErr w:type="gramEnd"/>
      <w:r w:rsidRPr="00B82949"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реализации права выбора конкретно</w:t>
      </w:r>
      <w:r w:rsidR="00BD20AA" w:rsidRPr="00B82949"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eastAsia="ru-RU"/>
        </w:rPr>
        <w:t>й</w:t>
      </w:r>
      <w:r w:rsidRPr="00B82949"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организации культуры для получения услуг</w:t>
      </w:r>
      <w:r w:rsidR="00BD20AA" w:rsidRPr="00B82949"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eastAsia="ru-RU"/>
        </w:rPr>
        <w:t>и</w:t>
      </w:r>
      <w:r w:rsidRPr="00B82949">
        <w:rPr>
          <w:rFonts w:ascii="Times New Roman" w:eastAsia="Arial Unicode MS" w:hAnsi="Times New Roman" w:cs="Times New Roman"/>
          <w:bCs/>
          <w:i/>
          <w:color w:val="000000" w:themeColor="text1"/>
          <w:sz w:val="28"/>
          <w:szCs w:val="28"/>
          <w:lang w:eastAsia="ru-RU"/>
        </w:rPr>
        <w:t>;</w:t>
      </w:r>
    </w:p>
    <w:p w:rsidR="00A42252" w:rsidRDefault="00BD20AA" w:rsidP="00A42252">
      <w:pPr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организации</w:t>
      </w:r>
      <w:r w:rsidR="00A42252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 xml:space="preserve"> культуры:</w:t>
      </w:r>
    </w:p>
    <w:p w:rsidR="00A42252" w:rsidRPr="00A42252" w:rsidRDefault="00A42252" w:rsidP="00A4225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</w:pPr>
      <w:r w:rsidRPr="00A42252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определение результативности деятельности организаци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и</w:t>
      </w:r>
      <w:r w:rsidRPr="00A42252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 xml:space="preserve"> культуры и принятие своевременных мер по повышению эффективности или по оптимизации е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е</w:t>
      </w:r>
      <w:r w:rsidRPr="00A42252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 xml:space="preserve"> деятельности;</w:t>
      </w:r>
    </w:p>
    <w:p w:rsidR="00A42252" w:rsidRDefault="00A42252" w:rsidP="00A4225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</w:pPr>
      <w:r w:rsidRPr="00A42252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 xml:space="preserve">своевременное выявление негативных факторов, влияющих на качество </w:t>
      </w:r>
      <w:r w:rsidRPr="00A42252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lastRenderedPageBreak/>
        <w:t>предоставления услуг</w:t>
      </w:r>
      <w:r w:rsidR="00BD20AA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и</w:t>
      </w:r>
      <w:r w:rsidRPr="00A42252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 xml:space="preserve"> в сфере культуры, и устранение их причин путе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м реализации планов мероприятий;</w:t>
      </w:r>
    </w:p>
    <w:p w:rsidR="00A42252" w:rsidRPr="00A42252" w:rsidRDefault="00A42252" w:rsidP="00A4225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</w:pPr>
      <w:r w:rsidRPr="00A42252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3) органы исполнительной власти, органы местного самоуправления:</w:t>
      </w:r>
    </w:p>
    <w:p w:rsidR="00A42252" w:rsidRPr="00A42252" w:rsidRDefault="00A42252" w:rsidP="00A4225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</w:pPr>
      <w:r w:rsidRPr="00A42252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 xml:space="preserve">при принятии управленческих решений, в том числе при кадровых перестановках, разработке программ по развитию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культуры</w:t>
      </w:r>
      <w:r w:rsidRPr="00A42252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, проведении конкурсного отбора лучших организаций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 xml:space="preserve"> культуры</w:t>
      </w:r>
      <w:r w:rsidRPr="00A42252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, при распределении грантов, а также осуществлени</w:t>
      </w:r>
      <w:r w:rsidR="000D3764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и</w:t>
      </w:r>
      <w:r w:rsidRPr="00A42252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 xml:space="preserve"> стимулирования руководителей и работников организаций </w:t>
      </w:r>
      <w:r w:rsidR="008914D8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культуры</w:t>
      </w:r>
      <w:r w:rsidR="008914D8" w:rsidRPr="00A42252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 xml:space="preserve"> и</w:t>
      </w:r>
      <w:r w:rsidR="00BD20AA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 xml:space="preserve"> т.д.;</w:t>
      </w:r>
    </w:p>
    <w:p w:rsidR="003907FC" w:rsidRPr="00971031" w:rsidRDefault="003907FC" w:rsidP="00C45437">
      <w:pPr>
        <w:pStyle w:val="a7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Требования к форме представления результата</w:t>
      </w:r>
    </w:p>
    <w:p w:rsidR="00A97A90" w:rsidRPr="00971031" w:rsidRDefault="00B04874" w:rsidP="008651B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Результат представляется в форме отчетов, названных в </w:t>
      </w:r>
      <w:r w:rsidR="00574A23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графе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3 таблицы</w:t>
      </w:r>
      <w:r w:rsidR="005B0FC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 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1.</w:t>
      </w:r>
    </w:p>
    <w:p w:rsidR="00C45437" w:rsidRPr="00971031" w:rsidRDefault="00C45437" w:rsidP="001147D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</w:pPr>
    </w:p>
    <w:p w:rsidR="00CD00E7" w:rsidRPr="00971031" w:rsidRDefault="00E4731F" w:rsidP="001147D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 xml:space="preserve">5. Перечень работ </w:t>
      </w:r>
    </w:p>
    <w:p w:rsidR="003170E4" w:rsidRPr="00971031" w:rsidRDefault="00B1734B" w:rsidP="001147D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i/>
          <w:sz w:val="28"/>
          <w:szCs w:val="28"/>
          <w:lang w:val="ru" w:eastAsia="ru-RU"/>
        </w:rPr>
        <w:t xml:space="preserve">Заказчиком приводится перечень </w:t>
      </w:r>
      <w:r w:rsidR="003170E4" w:rsidRPr="00971031">
        <w:rPr>
          <w:rFonts w:ascii="Times New Roman" w:eastAsia="Arial Unicode MS" w:hAnsi="Times New Roman" w:cs="Times New Roman"/>
          <w:i/>
          <w:sz w:val="28"/>
          <w:szCs w:val="28"/>
          <w:lang w:val="ru" w:eastAsia="ru-RU"/>
        </w:rPr>
        <w:t xml:space="preserve">выполняемых </w:t>
      </w:r>
      <w:r w:rsidRPr="00971031">
        <w:rPr>
          <w:rFonts w:ascii="Times New Roman" w:eastAsia="Arial Unicode MS" w:hAnsi="Times New Roman" w:cs="Times New Roman"/>
          <w:i/>
          <w:sz w:val="28"/>
          <w:szCs w:val="28"/>
          <w:lang w:val="ru" w:eastAsia="ru-RU"/>
        </w:rPr>
        <w:t xml:space="preserve">работ. </w:t>
      </w:r>
    </w:p>
    <w:p w:rsidR="00B1734B" w:rsidRPr="00971031" w:rsidRDefault="00B1734B" w:rsidP="001147D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i/>
          <w:sz w:val="28"/>
          <w:szCs w:val="28"/>
          <w:lang w:val="ru" w:eastAsia="ru-RU"/>
        </w:rPr>
        <w:t xml:space="preserve">Примерный перечень работ в </w:t>
      </w:r>
      <w:proofErr w:type="gramStart"/>
      <w:r w:rsidRPr="00971031">
        <w:rPr>
          <w:rFonts w:ascii="Times New Roman" w:eastAsia="Arial Unicode MS" w:hAnsi="Times New Roman" w:cs="Times New Roman"/>
          <w:i/>
          <w:sz w:val="28"/>
          <w:szCs w:val="28"/>
          <w:lang w:val="ru" w:eastAsia="ru-RU"/>
        </w:rPr>
        <w:t>рамках</w:t>
      </w:r>
      <w:proofErr w:type="gramEnd"/>
      <w:r w:rsidRPr="00971031">
        <w:rPr>
          <w:rFonts w:ascii="Times New Roman" w:eastAsia="Arial Unicode MS" w:hAnsi="Times New Roman" w:cs="Times New Roman"/>
          <w:i/>
          <w:sz w:val="28"/>
          <w:szCs w:val="28"/>
          <w:lang w:val="ru" w:eastAsia="ru-RU"/>
        </w:rPr>
        <w:t xml:space="preserve"> оказания услуги в разрезе этапов приведен в таблице 1.</w:t>
      </w:r>
    </w:p>
    <w:p w:rsidR="00C45437" w:rsidRPr="00971031" w:rsidRDefault="00C45437" w:rsidP="007950AF">
      <w:pPr>
        <w:spacing w:after="0" w:line="240" w:lineRule="auto"/>
        <w:ind w:left="1560" w:hanging="1560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0D3764" w:rsidRDefault="000D3764" w:rsidP="007950AF">
      <w:pPr>
        <w:spacing w:after="0" w:line="240" w:lineRule="auto"/>
        <w:ind w:left="1560" w:hanging="1560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br w:type="page"/>
      </w:r>
    </w:p>
    <w:p w:rsidR="007950AF" w:rsidRPr="00971031" w:rsidRDefault="007950AF" w:rsidP="007950AF">
      <w:pPr>
        <w:spacing w:after="0" w:line="240" w:lineRule="auto"/>
        <w:ind w:left="1560" w:hanging="1560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lastRenderedPageBreak/>
        <w:t>Таблица 1 –</w:t>
      </w:r>
      <w:r w:rsidR="00F84436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П</w:t>
      </w:r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еречень работ в </w:t>
      </w:r>
      <w:proofErr w:type="gramStart"/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рамках</w:t>
      </w:r>
      <w:proofErr w:type="gramEnd"/>
      <w:r w:rsidRPr="0097103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оказания услуги в разрезе этапов </w:t>
      </w:r>
    </w:p>
    <w:p w:rsidR="00CD00E7" w:rsidRPr="00971031" w:rsidRDefault="00CD00E7" w:rsidP="00CD00E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4395"/>
        <w:gridCol w:w="3543"/>
        <w:gridCol w:w="1701"/>
      </w:tblGrid>
      <w:tr w:rsidR="008933F6" w:rsidRPr="00971031" w:rsidTr="00CE173B">
        <w:trPr>
          <w:trHeight w:val="1"/>
          <w:tblHeader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8933F6" w:rsidRPr="00971031" w:rsidRDefault="008933F6" w:rsidP="00AF31D9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933F6" w:rsidRPr="00971031" w:rsidRDefault="008933F6" w:rsidP="00AF31D9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574A23" w:rsidRDefault="008933F6" w:rsidP="0057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услуг</w:t>
            </w:r>
            <w:r w:rsidR="0057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933F6" w:rsidRPr="00971031" w:rsidRDefault="008933F6" w:rsidP="0057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</w:t>
            </w:r>
            <w:r w:rsidR="0057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результат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</w:tcPr>
          <w:p w:rsidR="008933F6" w:rsidRPr="00971031" w:rsidRDefault="008933F6" w:rsidP="0057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</w:t>
            </w:r>
            <w:r w:rsidR="0057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материал</w:t>
            </w:r>
          </w:p>
        </w:tc>
        <w:tc>
          <w:tcPr>
            <w:tcW w:w="1701" w:type="dxa"/>
          </w:tcPr>
          <w:p w:rsidR="008933F6" w:rsidRPr="00971031" w:rsidRDefault="008933F6" w:rsidP="00AF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отчетных материалов</w:t>
            </w:r>
          </w:p>
        </w:tc>
      </w:tr>
      <w:tr w:rsidR="00C45437" w:rsidRPr="00971031" w:rsidTr="00AF31D9">
        <w:trPr>
          <w:trHeight w:val="1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C45437" w:rsidRPr="00971031" w:rsidRDefault="00C45437" w:rsidP="00AF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C45437" w:rsidRPr="00971031" w:rsidRDefault="00C45437" w:rsidP="00AF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C45437" w:rsidRPr="00971031" w:rsidRDefault="00C45437" w:rsidP="00AF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45437" w:rsidRPr="00971031" w:rsidRDefault="00C45437" w:rsidP="00AF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5437" w:rsidRPr="00971031" w:rsidTr="00AF31D9">
        <w:trPr>
          <w:trHeight w:val="1"/>
          <w:jc w:val="center"/>
        </w:trPr>
        <w:tc>
          <w:tcPr>
            <w:tcW w:w="10201" w:type="dxa"/>
            <w:gridSpan w:val="4"/>
            <w:tcMar>
              <w:left w:w="108" w:type="dxa"/>
              <w:right w:w="108" w:type="dxa"/>
            </w:tcMar>
          </w:tcPr>
          <w:p w:rsidR="00574A23" w:rsidRDefault="00574A23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437" w:rsidRPr="00971031" w:rsidRDefault="00C45437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1. Определение подходов к построению </w:t>
            </w:r>
            <w:proofErr w:type="gramStart"/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независимой оценки качества оказания услуг</w:t>
            </w:r>
            <w:proofErr w:type="gramEnd"/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1D9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оцениваемыми 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 и</w:t>
            </w:r>
            <w:r w:rsidR="00AF31D9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рейтингов организаций</w:t>
            </w:r>
          </w:p>
        </w:tc>
      </w:tr>
      <w:tr w:rsidR="00E5539B" w:rsidRPr="00971031" w:rsidTr="00AF31D9">
        <w:trPr>
          <w:trHeight w:val="3552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E5539B" w:rsidRPr="00971031" w:rsidRDefault="00E5539B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539B" w:rsidRPr="00971031" w:rsidRDefault="00E5539B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AB2C30" w:rsidRPr="00971031" w:rsidRDefault="00E5539B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нормативн</w:t>
            </w:r>
            <w:r w:rsidR="0057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базы</w:t>
            </w:r>
            <w:r w:rsidR="00AB2C30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C30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деятельности </w:t>
            </w:r>
            <w:r w:rsidR="00C45437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оцениваемых организаций, размещенной</w:t>
            </w:r>
            <w:r w:rsidR="00AB2C30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их офици</w:t>
            </w:r>
            <w:r w:rsidR="00530206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сайтах в сети «Интернет».</w:t>
            </w:r>
          </w:p>
          <w:p w:rsidR="00E5539B" w:rsidRPr="00971031" w:rsidRDefault="00E5539B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Определение:</w:t>
            </w:r>
          </w:p>
          <w:p w:rsidR="00E5539B" w:rsidRPr="00971031" w:rsidRDefault="00E5539B" w:rsidP="00AF31D9">
            <w:pPr>
              <w:spacing w:after="0" w:line="240" w:lineRule="auto"/>
              <w:ind w:firstLine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подходов к построению </w:t>
            </w:r>
            <w:proofErr w:type="gramStart"/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независимой оценки качества оказания услуг</w:t>
            </w:r>
            <w:proofErr w:type="gramEnd"/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437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оцениваемыми 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организациями и проектов </w:t>
            </w:r>
            <w:r w:rsidR="00C45437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рейтингов;</w:t>
            </w:r>
          </w:p>
          <w:p w:rsidR="00E5539B" w:rsidRPr="00971031" w:rsidRDefault="00E5539B" w:rsidP="00AF31D9">
            <w:pPr>
              <w:spacing w:after="0" w:line="240" w:lineRule="auto"/>
              <w:ind w:firstLine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методов и каналов сбора информации, особенностей их использования с учетом специфики деятельности оцениваемых организаций. 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</w:tcPr>
          <w:p w:rsidR="00E5539B" w:rsidRPr="00971031" w:rsidRDefault="00E5539B" w:rsidP="0057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реализации этапа 1 </w:t>
            </w:r>
          </w:p>
        </w:tc>
        <w:tc>
          <w:tcPr>
            <w:tcW w:w="1701" w:type="dxa"/>
          </w:tcPr>
          <w:p w:rsidR="00E5539B" w:rsidRDefault="00F57338" w:rsidP="00B8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</w:t>
            </w:r>
            <w:r w:rsidR="00B8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B82949" w:rsidRPr="00971031" w:rsidRDefault="00B82949" w:rsidP="00B8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</w:tr>
      <w:tr w:rsidR="00C45437" w:rsidRPr="00971031" w:rsidTr="00AF31D9">
        <w:trPr>
          <w:trHeight w:val="415"/>
          <w:jc w:val="center"/>
        </w:trPr>
        <w:tc>
          <w:tcPr>
            <w:tcW w:w="10201" w:type="dxa"/>
            <w:gridSpan w:val="4"/>
            <w:tcMar>
              <w:left w:w="108" w:type="dxa"/>
              <w:right w:w="108" w:type="dxa"/>
            </w:tcMar>
          </w:tcPr>
          <w:p w:rsidR="00574A23" w:rsidRDefault="00574A23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437" w:rsidRPr="00971031" w:rsidRDefault="00C45437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2. Разработка методик сбора информации и построения рейтингов организаций</w:t>
            </w:r>
          </w:p>
        </w:tc>
      </w:tr>
      <w:tr w:rsidR="008933F6" w:rsidRPr="00971031" w:rsidTr="00AF31D9">
        <w:trPr>
          <w:trHeight w:val="1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8933F6" w:rsidRPr="00971031" w:rsidRDefault="00574A23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33F6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8933F6" w:rsidRPr="00971031" w:rsidRDefault="00FB1AE5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933F6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методик и инструментария сбора первичной информации по отдельным </w:t>
            </w:r>
            <w:r w:rsidR="00A006B3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 оцениваемых</w:t>
            </w:r>
            <w:r w:rsidR="008933F6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с учетом их специфики, форм для регистрации первичной информации, разработка анкеты для проведения сбора информации и согласование ее с Заказчиком</w:t>
            </w:r>
          </w:p>
        </w:tc>
        <w:tc>
          <w:tcPr>
            <w:tcW w:w="3543" w:type="dxa"/>
            <w:vMerge w:val="restart"/>
            <w:tcMar>
              <w:left w:w="108" w:type="dxa"/>
              <w:right w:w="108" w:type="dxa"/>
            </w:tcMar>
          </w:tcPr>
          <w:p w:rsidR="008933F6" w:rsidRPr="00971031" w:rsidRDefault="008933F6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Pr="00971031">
              <w:t xml:space="preserve"> 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этапа </w:t>
            </w:r>
            <w:r w:rsidR="00FB1AE5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включающий методику проведения полевого исследования по каждому методу и каналу сбора данных, обоснование выборки для проведения опроса, формы фиксации и первичной обработки данных, методику </w:t>
            </w:r>
            <w:proofErr w:type="spellStart"/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  <w:r w:rsidR="00A006B3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</w:t>
            </w:r>
            <w:proofErr w:type="spellEnd"/>
          </w:p>
        </w:tc>
        <w:tc>
          <w:tcPr>
            <w:tcW w:w="1701" w:type="dxa"/>
            <w:vMerge w:val="restart"/>
          </w:tcPr>
          <w:p w:rsidR="00F57338" w:rsidRDefault="00F57338" w:rsidP="00F5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 декабря</w:t>
            </w:r>
          </w:p>
          <w:p w:rsidR="008933F6" w:rsidRPr="00971031" w:rsidRDefault="00F57338" w:rsidP="00F5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</w:tr>
      <w:tr w:rsidR="008933F6" w:rsidRPr="00971031" w:rsidTr="00AF31D9">
        <w:trPr>
          <w:trHeight w:val="1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8933F6" w:rsidRPr="00971031" w:rsidRDefault="00574A23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33F6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8933F6" w:rsidRPr="00971031" w:rsidRDefault="008933F6" w:rsidP="00F84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FB1AE5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параметров 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выборки для проведения опросов получателей</w:t>
            </w:r>
            <w:r w:rsidR="00A006B3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57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006B3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</w:t>
            </w:r>
            <w:r w:rsidR="00F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A006B3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vMerge/>
            <w:tcMar>
              <w:left w:w="108" w:type="dxa"/>
              <w:right w:w="108" w:type="dxa"/>
            </w:tcMar>
            <w:vAlign w:val="center"/>
          </w:tcPr>
          <w:p w:rsidR="008933F6" w:rsidRPr="00971031" w:rsidRDefault="008933F6" w:rsidP="00AF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933F6" w:rsidRPr="00971031" w:rsidRDefault="008933F6" w:rsidP="00AF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F6" w:rsidRPr="00971031" w:rsidTr="00AF31D9">
        <w:trPr>
          <w:trHeight w:val="1164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8933F6" w:rsidRPr="00971031" w:rsidRDefault="00574A23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933F6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8933F6" w:rsidRPr="00971031" w:rsidRDefault="008933F6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построения проектов независимой оценки качества </w:t>
            </w:r>
            <w:r w:rsidR="00A006B3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услуг</w:t>
            </w:r>
            <w:proofErr w:type="gramEnd"/>
            <w:r w:rsidR="00A006B3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оцениваемыми 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A006B3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специфики их деятельности и их </w:t>
            </w:r>
            <w:r w:rsidR="00A006B3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</w:t>
            </w:r>
          </w:p>
        </w:tc>
        <w:tc>
          <w:tcPr>
            <w:tcW w:w="3543" w:type="dxa"/>
            <w:vMerge/>
            <w:tcMar>
              <w:left w:w="108" w:type="dxa"/>
              <w:right w:w="108" w:type="dxa"/>
            </w:tcMar>
            <w:vAlign w:val="center"/>
          </w:tcPr>
          <w:p w:rsidR="008933F6" w:rsidRPr="00971031" w:rsidRDefault="008933F6" w:rsidP="00AF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933F6" w:rsidRPr="00971031" w:rsidRDefault="008933F6" w:rsidP="00AF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437" w:rsidRPr="00971031" w:rsidTr="00AF31D9">
        <w:trPr>
          <w:trHeight w:val="1"/>
          <w:jc w:val="center"/>
        </w:trPr>
        <w:tc>
          <w:tcPr>
            <w:tcW w:w="10201" w:type="dxa"/>
            <w:gridSpan w:val="4"/>
            <w:tcMar>
              <w:left w:w="108" w:type="dxa"/>
              <w:right w:w="108" w:type="dxa"/>
            </w:tcMar>
          </w:tcPr>
          <w:p w:rsidR="00574A23" w:rsidRDefault="00574A23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437" w:rsidRPr="00971031" w:rsidRDefault="00C45437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3. Сбор, обработка и анализ первичных данных о качестве предоставления услуг </w:t>
            </w:r>
            <w:r w:rsidR="00A006B3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оцениваемыми организациями</w:t>
            </w:r>
          </w:p>
        </w:tc>
      </w:tr>
      <w:tr w:rsidR="008933F6" w:rsidRPr="00971031" w:rsidTr="00AF31D9">
        <w:trPr>
          <w:trHeight w:val="1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8933F6" w:rsidRPr="00971031" w:rsidRDefault="00574A23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33F6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8933F6" w:rsidRPr="00971031" w:rsidRDefault="008933F6" w:rsidP="00F84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«полевого этапа» исследования </w:t>
            </w:r>
            <w:r w:rsidR="0057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в сфере </w:t>
            </w:r>
            <w:r w:rsidR="00F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A006B3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C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proofErr w:type="gramEnd"/>
            <w:r w:rsidR="004C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 в приложении №</w:t>
            </w:r>
            <w:r w:rsidR="00971031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</w:t>
            </w:r>
            <w:r w:rsidR="0057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иповому т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ехническому заданию – сбор и 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обработка первичных данных в соответствии с методикой, разработанной в ходе этапа </w:t>
            </w:r>
            <w:r w:rsidR="0057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выезды в организации).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</w:tcPr>
          <w:p w:rsidR="008933F6" w:rsidRPr="00971031" w:rsidRDefault="00A006B3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8933F6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о проведении «полевого этапа», включающий первичные исследовательские данные по 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обследованным организациям</w:t>
            </w:r>
            <w:r w:rsidR="008933F6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57338" w:rsidRDefault="00F57338" w:rsidP="00F5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 декабря</w:t>
            </w:r>
          </w:p>
          <w:p w:rsidR="008933F6" w:rsidRPr="00971031" w:rsidRDefault="00F57338" w:rsidP="00F5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</w:tr>
      <w:tr w:rsidR="00C45437" w:rsidRPr="00971031" w:rsidTr="00AF31D9">
        <w:trPr>
          <w:trHeight w:val="1"/>
          <w:jc w:val="center"/>
        </w:trPr>
        <w:tc>
          <w:tcPr>
            <w:tcW w:w="10201" w:type="dxa"/>
            <w:gridSpan w:val="4"/>
            <w:tcMar>
              <w:left w:w="108" w:type="dxa"/>
              <w:right w:w="108" w:type="dxa"/>
            </w:tcMar>
          </w:tcPr>
          <w:p w:rsidR="00C45437" w:rsidRPr="00971031" w:rsidRDefault="00C45437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 4. Анализ и подготовка </w:t>
            </w:r>
            <w:proofErr w:type="gramStart"/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оценки качества предоставления социальных услуг</w:t>
            </w:r>
            <w:proofErr w:type="gramEnd"/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6B3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оцениваемыми 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организациями, рейтингов организаций </w:t>
            </w:r>
          </w:p>
        </w:tc>
      </w:tr>
      <w:tr w:rsidR="008933F6" w:rsidRPr="00971031" w:rsidTr="00AF31D9">
        <w:trPr>
          <w:trHeight w:val="1234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8933F6" w:rsidRPr="00971031" w:rsidRDefault="00574A23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33F6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8933F6" w:rsidRPr="00971031" w:rsidRDefault="008933F6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полученных данных</w:t>
            </w:r>
            <w:r w:rsidRPr="0097103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роведения «полевого этапа» исследования организации</w:t>
            </w:r>
          </w:p>
        </w:tc>
        <w:tc>
          <w:tcPr>
            <w:tcW w:w="3543" w:type="dxa"/>
            <w:vMerge w:val="restart"/>
            <w:tcMar>
              <w:left w:w="108" w:type="dxa"/>
              <w:right w:w="108" w:type="dxa"/>
            </w:tcMar>
          </w:tcPr>
          <w:p w:rsidR="00AF31D9" w:rsidRPr="00971031" w:rsidRDefault="00A006B3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933F6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налитический отчет о качестве оказания услуг 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оцениваемыми организациями</w:t>
            </w:r>
            <w:r w:rsidR="00AF31D9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31D9" w:rsidRPr="00971031" w:rsidRDefault="008933F6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независимой оценки качества оказания услуг, сформированные в соответствии с методикой </w:t>
            </w:r>
            <w:proofErr w:type="gramStart"/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независимой оценки качества оказания услуг</w:t>
            </w:r>
            <w:proofErr w:type="gramEnd"/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1D9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оцениваемыми организациями;</w:t>
            </w:r>
          </w:p>
          <w:p w:rsidR="008933F6" w:rsidRPr="00971031" w:rsidRDefault="008933F6" w:rsidP="0057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рейтингов </w:t>
            </w:r>
            <w:r w:rsidR="00AF31D9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оцениваемых организаций</w:t>
            </w:r>
          </w:p>
        </w:tc>
        <w:tc>
          <w:tcPr>
            <w:tcW w:w="1701" w:type="dxa"/>
            <w:vMerge w:val="restart"/>
          </w:tcPr>
          <w:p w:rsidR="00F57338" w:rsidRDefault="00F57338" w:rsidP="00F5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 декабря</w:t>
            </w:r>
          </w:p>
          <w:p w:rsidR="008933F6" w:rsidRPr="00971031" w:rsidRDefault="00F57338" w:rsidP="00F5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</w:tr>
      <w:tr w:rsidR="008933F6" w:rsidRPr="00971031" w:rsidTr="00AF31D9">
        <w:trPr>
          <w:trHeight w:val="1968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8933F6" w:rsidRPr="00971031" w:rsidRDefault="00574A23" w:rsidP="00AF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8933F6" w:rsidRPr="00971031" w:rsidRDefault="008933F6" w:rsidP="00971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оценки качества предоставления услуг</w:t>
            </w:r>
            <w:proofErr w:type="gramEnd"/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1031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оцениваемыми организациями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учетом специфики их деятельности, особенностей получателей </w:t>
            </w:r>
            <w:r w:rsidR="00971031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 и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рейтингов</w:t>
            </w:r>
            <w:r w:rsidR="00971031"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оцениваемых</w:t>
            </w:r>
            <w:r w:rsidRPr="0097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в соответствии с методикой, разработанной в ходе второго этапа.</w:t>
            </w:r>
          </w:p>
        </w:tc>
        <w:tc>
          <w:tcPr>
            <w:tcW w:w="3543" w:type="dxa"/>
            <w:vMerge/>
            <w:tcMar>
              <w:left w:w="108" w:type="dxa"/>
              <w:right w:w="108" w:type="dxa"/>
            </w:tcMar>
            <w:vAlign w:val="center"/>
          </w:tcPr>
          <w:p w:rsidR="008933F6" w:rsidRPr="00971031" w:rsidRDefault="008933F6" w:rsidP="00AF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933F6" w:rsidRPr="00971031" w:rsidRDefault="008933F6" w:rsidP="00AF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51B2" w:rsidRPr="00971031" w:rsidRDefault="008651B2" w:rsidP="008651B2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7E4881" w:rsidRPr="00971031" w:rsidRDefault="007E4881" w:rsidP="008651B2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AF31D9" w:rsidRPr="00971031" w:rsidRDefault="00AF31D9" w:rsidP="00AF31D9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84436" w:rsidRPr="004574DC" w:rsidRDefault="008651B2" w:rsidP="00F84436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35BD5"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D3764"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1B2" w:rsidRPr="004574DC" w:rsidRDefault="008651B2" w:rsidP="00F84436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</w:t>
      </w:r>
      <w:r w:rsidR="00F27AC9"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иповому т</w:t>
      </w:r>
      <w:r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ехническому заданию</w:t>
      </w:r>
      <w:r w:rsidR="00574A23" w:rsidRPr="004574DC">
        <w:rPr>
          <w:sz w:val="24"/>
          <w:szCs w:val="24"/>
        </w:rPr>
        <w:t xml:space="preserve"> </w:t>
      </w:r>
      <w:r w:rsidR="00574A23"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услуги по сбору, обобщению и анализу информац</w:t>
      </w:r>
      <w:r w:rsidR="00D57E3C"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для проведения Общественным С</w:t>
      </w:r>
      <w:r w:rsidR="00574A23"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оветом </w:t>
      </w:r>
      <w:r w:rsidR="00F84436"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Тетюшского муниципального  района </w:t>
      </w:r>
      <w:r w:rsidR="00D57E3C"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Татарстан  </w:t>
      </w:r>
      <w:r w:rsidR="00574A23"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качества оказания услуг организациями в 20</w:t>
      </w:r>
      <w:r w:rsidR="00F84436"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74A23" w:rsidRPr="0045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735BD5" w:rsidRPr="00971031" w:rsidRDefault="00735BD5" w:rsidP="008651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</w:pPr>
    </w:p>
    <w:p w:rsidR="002F2F74" w:rsidRDefault="008651B2" w:rsidP="008651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>Перечень</w:t>
      </w:r>
      <w:r w:rsidR="00350A5E" w:rsidRPr="00971031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 xml:space="preserve"> оцениваемых </w:t>
      </w:r>
      <w:r w:rsidR="00D57E3C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 xml:space="preserve">организаций, в отношение </w:t>
      </w:r>
      <w:r w:rsidRPr="00971031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 xml:space="preserve"> которых </w:t>
      </w:r>
    </w:p>
    <w:p w:rsidR="004574DC" w:rsidRDefault="00D57E3C" w:rsidP="008651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>Общественным С</w:t>
      </w:r>
      <w:r w:rsidR="008651B2" w:rsidRPr="00971031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 xml:space="preserve">оветом </w:t>
      </w:r>
      <w:r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 xml:space="preserve"> </w:t>
      </w:r>
      <w:r w:rsidR="00D272CF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>Тетюшского муниципального района</w:t>
      </w:r>
      <w:r w:rsidR="008651B2" w:rsidRPr="00971031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 xml:space="preserve">Республики Татарстан  </w:t>
      </w:r>
      <w:r w:rsidR="008651B2" w:rsidRPr="00971031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>проводится независимая оценка качества оказания услуг</w:t>
      </w:r>
    </w:p>
    <w:p w:rsidR="008651B2" w:rsidRPr="00971031" w:rsidRDefault="008651B2" w:rsidP="008651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 xml:space="preserve"> в 20</w:t>
      </w:r>
      <w:r w:rsidR="00D272CF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>16</w:t>
      </w:r>
      <w:r w:rsidRPr="00971031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 xml:space="preserve"> году</w:t>
      </w:r>
    </w:p>
    <w:p w:rsidR="00735BD5" w:rsidRPr="00971031" w:rsidRDefault="00735BD5" w:rsidP="008651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tbl>
      <w:tblPr>
        <w:tblW w:w="10927" w:type="dxa"/>
        <w:jc w:val="center"/>
        <w:tblInd w:w="-459" w:type="dxa"/>
        <w:tblLook w:val="04A0" w:firstRow="1" w:lastRow="0" w:firstColumn="1" w:lastColumn="0" w:noHBand="0" w:noVBand="1"/>
      </w:tblPr>
      <w:tblGrid>
        <w:gridCol w:w="592"/>
        <w:gridCol w:w="1505"/>
        <w:gridCol w:w="2383"/>
        <w:gridCol w:w="2214"/>
        <w:gridCol w:w="1476"/>
        <w:gridCol w:w="2757"/>
      </w:tblGrid>
      <w:tr w:rsidR="00507E26" w:rsidRPr="00971031" w:rsidTr="00507E26">
        <w:trPr>
          <w:cantSplit/>
          <w:trHeight w:val="586"/>
          <w:tblHeader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8B2" w:rsidRPr="009902E1" w:rsidRDefault="003238B2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№</w:t>
            </w:r>
            <w:r w:rsidR="002F5BC2"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gramStart"/>
            <w:r w:rsidR="002F5BC2"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п</w:t>
            </w:r>
            <w:proofErr w:type="gramEnd"/>
            <w:r w:rsidR="002F5BC2"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/п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B2" w:rsidRPr="009902E1" w:rsidRDefault="003238B2" w:rsidP="003238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Вид организации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8B2" w:rsidRPr="009902E1" w:rsidRDefault="003238B2" w:rsidP="003238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Наименование организации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B2" w:rsidRPr="009902E1" w:rsidRDefault="003238B2" w:rsidP="003238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Адрес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8B2" w:rsidRPr="009902E1" w:rsidRDefault="003238B2" w:rsidP="00574A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Контактны</w:t>
            </w:r>
            <w:r w:rsidR="00574A23"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й</w:t>
            </w: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телефон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8B2" w:rsidRPr="009902E1" w:rsidRDefault="003238B2" w:rsidP="003238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Адрес электронной почты</w:t>
            </w:r>
          </w:p>
        </w:tc>
      </w:tr>
      <w:tr w:rsidR="00507E26" w:rsidRPr="0097103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B2" w:rsidRPr="009902E1" w:rsidRDefault="00D272CF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B2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Библиотека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B2" w:rsidRPr="009902E1" w:rsidRDefault="00D272CF" w:rsidP="00D272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Центральная библиотека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межпоселенческая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библиотека»</w:t>
            </w:r>
            <w:r w:rsidR="00D230A4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EC" w:rsidRPr="001744EC" w:rsidRDefault="001744EC" w:rsidP="001744E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 г. Тетюши, ул. Ленина, д. 84 </w:t>
            </w:r>
          </w:p>
          <w:p w:rsidR="003238B2" w:rsidRPr="001744EC" w:rsidRDefault="003238B2" w:rsidP="001744E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8B2" w:rsidRPr="009902E1" w:rsidRDefault="00410089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2-57-71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8B2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9902E1">
              <w:rPr>
                <w:rFonts w:ascii="Times New Roman" w:hAnsi="Times New Roman" w:cs="Times New Roman"/>
                <w:sz w:val="24"/>
                <w:szCs w:val="24"/>
              </w:rPr>
              <w:t>tetushibiblioteca@ya.ru</w:t>
            </w:r>
          </w:p>
        </w:tc>
      </w:tr>
      <w:tr w:rsidR="00507E26" w:rsidRPr="0097103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8B2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B2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Библиотека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B2" w:rsidRPr="009902E1" w:rsidRDefault="00D272CF" w:rsidP="00D272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Детская библиотека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межпоселенческая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библиотека»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EC" w:rsidRPr="00265EF0" w:rsidRDefault="001744EC" w:rsidP="00265E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 г. Тетюши, ул. Ленина, д. 96 </w:t>
            </w:r>
          </w:p>
          <w:p w:rsidR="003238B2" w:rsidRPr="001744EC" w:rsidRDefault="003238B2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8B2" w:rsidRPr="009902E1" w:rsidRDefault="00410089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2-50-91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8B2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detbibl.tetushi@yandex.ru</w:t>
            </w:r>
          </w:p>
        </w:tc>
      </w:tr>
      <w:tr w:rsidR="00507E26" w:rsidRPr="0097103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8B2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B2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Культурно-досуговое учреждение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B2" w:rsidRPr="009902E1" w:rsidRDefault="00D272CF" w:rsidP="00D272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Алекино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-Полянский сельский Дом культуры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централизованная клубная система» 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B2" w:rsidRPr="00043B52" w:rsidRDefault="00E36371" w:rsidP="00043B52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 Тетюшский район</w:t>
            </w:r>
            <w:r w:rsidR="00043B52" w:rsidRPr="0004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04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="0004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лекина</w:t>
            </w:r>
            <w:proofErr w:type="spellEnd"/>
            <w:r w:rsidR="0004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Поляна, ул.Молодёжная,д.2</w:t>
            </w:r>
            <w:r w:rsidRPr="0004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8B2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8B2" w:rsidRPr="009902E1" w:rsidRDefault="00410089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kulturav@mail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7E26" w:rsidRPr="0097103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8B2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B2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Библиотека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B2" w:rsidRPr="009902E1" w:rsidRDefault="00D272CF" w:rsidP="00D272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Алекино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-Полянская поселенческая библиотека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межпоселенческая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библиотека»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52" w:rsidRPr="00043B52" w:rsidRDefault="00E36371" w:rsidP="00043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43B52">
              <w:rPr>
                <w:rFonts w:ascii="Times New Roman" w:hAnsi="Times New Roman" w:cs="Times New Roman"/>
                <w:sz w:val="24"/>
                <w:szCs w:val="24"/>
              </w:rPr>
              <w:t xml:space="preserve">РТ Тетюшский район, </w:t>
            </w:r>
          </w:p>
          <w:p w:rsidR="00E36371" w:rsidRPr="00043B52" w:rsidRDefault="00E36371" w:rsidP="00043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B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43B52">
              <w:rPr>
                <w:rFonts w:ascii="Times New Roman" w:hAnsi="Times New Roman" w:cs="Times New Roman"/>
                <w:sz w:val="24"/>
                <w:szCs w:val="24"/>
              </w:rPr>
              <w:t>Алекина</w:t>
            </w:r>
            <w:proofErr w:type="spellEnd"/>
            <w:r w:rsidRPr="00043B52">
              <w:rPr>
                <w:rFonts w:ascii="Times New Roman" w:hAnsi="Times New Roman" w:cs="Times New Roman"/>
                <w:sz w:val="24"/>
                <w:szCs w:val="24"/>
              </w:rPr>
              <w:t xml:space="preserve"> Поляна, ул. Молодежная д.1 </w:t>
            </w:r>
          </w:p>
          <w:p w:rsidR="003238B2" w:rsidRPr="00E36371" w:rsidRDefault="003238B2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8B2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8B2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hAnsi="Times New Roman" w:cs="Times New Roman"/>
                <w:sz w:val="24"/>
                <w:szCs w:val="24"/>
              </w:rPr>
              <w:t>tetushibiblioteca@ya.ru</w:t>
            </w:r>
          </w:p>
        </w:tc>
      </w:tr>
      <w:tr w:rsidR="00507E26" w:rsidRPr="0097103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CF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CF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Культурно-досуговое учреждение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CF" w:rsidRPr="009902E1" w:rsidRDefault="00D272CF" w:rsidP="00D272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Алабердинский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сельский Дом культуры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централизованная клубная система» 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 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71" w:rsidRPr="00E36371" w:rsidRDefault="00E36371" w:rsidP="00E3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 Тетюшский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лабердино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д.71</w:t>
            </w:r>
          </w:p>
          <w:p w:rsidR="00D272CF" w:rsidRPr="00E36371" w:rsidRDefault="00D272CF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2CF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2CF" w:rsidRPr="009902E1" w:rsidRDefault="00410089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kulturav@mail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7E26" w:rsidRPr="0097103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8B2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B2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Библиотека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B2" w:rsidRPr="009902E1" w:rsidRDefault="00D272CF" w:rsidP="00D272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Алабердинская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поселенческая библиотека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межпоселенческая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библиотека»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52" w:rsidRPr="00043B52" w:rsidRDefault="00043B52" w:rsidP="0004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B52">
              <w:rPr>
                <w:rFonts w:ascii="Times New Roman" w:hAnsi="Times New Roman" w:cs="Times New Roman"/>
                <w:sz w:val="24"/>
                <w:szCs w:val="24"/>
              </w:rPr>
              <w:t xml:space="preserve">РТ Тетюшский район, с. </w:t>
            </w:r>
            <w:proofErr w:type="spellStart"/>
            <w:r w:rsidRPr="00043B52">
              <w:rPr>
                <w:rFonts w:ascii="Times New Roman" w:hAnsi="Times New Roman" w:cs="Times New Roman"/>
                <w:sz w:val="24"/>
                <w:szCs w:val="24"/>
              </w:rPr>
              <w:t>Алабердино</w:t>
            </w:r>
            <w:proofErr w:type="spellEnd"/>
            <w:r w:rsidRPr="00043B52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д. 71 </w:t>
            </w:r>
          </w:p>
          <w:p w:rsidR="003238B2" w:rsidRPr="00043B52" w:rsidRDefault="003238B2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8B2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8B2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hAnsi="Times New Roman" w:cs="Times New Roman"/>
                <w:sz w:val="24"/>
                <w:szCs w:val="24"/>
              </w:rPr>
              <w:t>tetushibiblioteca@ya.ru</w:t>
            </w:r>
          </w:p>
        </w:tc>
      </w:tr>
      <w:tr w:rsidR="00507E26" w:rsidRPr="0097103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8B2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B2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Культурно-досуговое учреждение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B2" w:rsidRPr="009902E1" w:rsidRDefault="00D272CF" w:rsidP="00403F8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Богдашкинс</w:t>
            </w:r>
            <w:r w:rsidR="00403F8E"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кий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="00403F8E"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сельский Дом культуры</w:t>
            </w: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="00403F8E"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централизованная клубная система</w:t>
            </w: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B2" w:rsidRPr="00E36371" w:rsidRDefault="00043B52" w:rsidP="00043B5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 Тетюшский район </w:t>
            </w:r>
            <w:proofErr w:type="spellStart"/>
            <w:r w:rsidR="00E36371" w:rsidRPr="0004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D2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D2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огдашкино</w:t>
            </w:r>
            <w:proofErr w:type="spellEnd"/>
            <w:r w:rsidR="00D2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2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="00D2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д.16</w:t>
            </w:r>
            <w:r w:rsidR="00E36371" w:rsidRPr="0004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8B2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8B2" w:rsidRPr="009902E1" w:rsidRDefault="00410089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kulturav@mail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7E26" w:rsidRPr="0097103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CF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CF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Библиотека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CF" w:rsidRPr="009902E1" w:rsidRDefault="00403F8E" w:rsidP="00D272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Богдашкинская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поселенческая библиотека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межпоселенческая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библиотека»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EC" w:rsidRPr="001744EC" w:rsidRDefault="001744EC" w:rsidP="001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Тетюшский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4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744EC">
              <w:rPr>
                <w:rFonts w:ascii="Times New Roman" w:hAnsi="Times New Roman" w:cs="Times New Roman"/>
                <w:sz w:val="24"/>
                <w:szCs w:val="24"/>
              </w:rPr>
              <w:t>огдашкино</w:t>
            </w:r>
            <w:proofErr w:type="spellEnd"/>
            <w:r w:rsidRPr="001744EC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 д.26 </w:t>
            </w:r>
          </w:p>
          <w:p w:rsidR="00D272CF" w:rsidRPr="009902E1" w:rsidRDefault="00D272CF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2CF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2CF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hAnsi="Times New Roman" w:cs="Times New Roman"/>
                <w:sz w:val="24"/>
                <w:szCs w:val="24"/>
              </w:rPr>
              <w:t>tetushibiblioteca@ya.ru</w:t>
            </w:r>
          </w:p>
        </w:tc>
      </w:tr>
      <w:tr w:rsidR="00507E26" w:rsidRPr="0097103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8E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8E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Библиотека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F8E" w:rsidRPr="009902E1" w:rsidRDefault="00403F8E" w:rsidP="00403F8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Большеатрясская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поселенческая библиотека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межпоселенческая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библиотека»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52" w:rsidRPr="001744EC" w:rsidRDefault="00043B52" w:rsidP="0004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4EC">
              <w:rPr>
                <w:rFonts w:ascii="Times New Roman" w:hAnsi="Times New Roman" w:cs="Times New Roman"/>
                <w:sz w:val="24"/>
                <w:szCs w:val="24"/>
              </w:rPr>
              <w:t xml:space="preserve">РТ Тетюшский район, с. </w:t>
            </w:r>
            <w:proofErr w:type="gramStart"/>
            <w:r w:rsidRPr="001744EC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  <w:r w:rsidRPr="00174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4EC">
              <w:rPr>
                <w:rFonts w:ascii="Times New Roman" w:hAnsi="Times New Roman" w:cs="Times New Roman"/>
                <w:sz w:val="24"/>
                <w:szCs w:val="24"/>
              </w:rPr>
              <w:t>Атряси</w:t>
            </w:r>
            <w:proofErr w:type="spellEnd"/>
            <w:r w:rsidRPr="001744EC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д. 74 </w:t>
            </w:r>
          </w:p>
          <w:p w:rsidR="00403F8E" w:rsidRPr="00043B52" w:rsidRDefault="00403F8E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8E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8E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hAnsi="Times New Roman" w:cs="Times New Roman"/>
                <w:sz w:val="24"/>
                <w:szCs w:val="24"/>
              </w:rPr>
              <w:t>tetushibiblioteca@ya.ru</w:t>
            </w:r>
          </w:p>
        </w:tc>
      </w:tr>
      <w:tr w:rsidR="00507E26" w:rsidRPr="0097103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8E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8E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Культурно-досуговое учреждение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F8E" w:rsidRPr="009902E1" w:rsidRDefault="00403F8E" w:rsidP="00403F8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Большеатрясский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сельский Дом культуры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централизованная клубная система»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F0" w:rsidRDefault="00507E26" w:rsidP="00265EF0">
            <w:pPr>
              <w:rPr>
                <w:color w:val="000000"/>
                <w:sz w:val="18"/>
                <w:szCs w:val="18"/>
              </w:rPr>
            </w:pPr>
            <w:r w:rsidRPr="00507E26">
              <w:rPr>
                <w:rFonts w:ascii="Times New Roman" w:hAnsi="Times New Roman" w:cs="Times New Roman"/>
                <w:sz w:val="24"/>
                <w:szCs w:val="24"/>
              </w:rPr>
              <w:t>РТ Тетюшский район</w:t>
            </w:r>
            <w:r w:rsidRP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5EF0" w:rsidRP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265EF0" w:rsidRP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265EF0" w:rsidRP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="00D2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шие</w:t>
            </w:r>
            <w:proofErr w:type="spellEnd"/>
            <w:r w:rsidR="00D2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Атряси</w:t>
            </w:r>
            <w:proofErr w:type="spellEnd"/>
            <w:r w:rsidR="00D2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2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="00D2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д.8</w:t>
            </w:r>
            <w:r w:rsidR="00265EF0" w:rsidRP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3F8E" w:rsidRPr="00265EF0" w:rsidRDefault="00403F8E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8E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8E" w:rsidRPr="009902E1" w:rsidRDefault="00410089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kulturav@mail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7E26" w:rsidRPr="0097103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8E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8E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Библиотека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F8E" w:rsidRPr="009902E1" w:rsidRDefault="00403F8E" w:rsidP="00403F8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Жуковская поселенческая библиотека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межпоселенческая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библиотека»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26" w:rsidRPr="00507E26" w:rsidRDefault="00507E26" w:rsidP="00507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26">
              <w:rPr>
                <w:rFonts w:ascii="Times New Roman" w:hAnsi="Times New Roman" w:cs="Times New Roman"/>
                <w:sz w:val="24"/>
                <w:szCs w:val="24"/>
              </w:rPr>
              <w:t xml:space="preserve">РТ Тетюшский район, с. Жуково, ул. </w:t>
            </w:r>
            <w:proofErr w:type="gramStart"/>
            <w:r w:rsidRPr="00507E2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07E26">
              <w:rPr>
                <w:rFonts w:ascii="Times New Roman" w:hAnsi="Times New Roman" w:cs="Times New Roman"/>
                <w:sz w:val="24"/>
                <w:szCs w:val="24"/>
              </w:rPr>
              <w:t xml:space="preserve">, д. 6 </w:t>
            </w:r>
          </w:p>
          <w:p w:rsidR="00403F8E" w:rsidRPr="00507E26" w:rsidRDefault="00403F8E" w:rsidP="00507E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8E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8E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hAnsi="Times New Roman" w:cs="Times New Roman"/>
                <w:sz w:val="24"/>
                <w:szCs w:val="24"/>
              </w:rPr>
              <w:t>tetushibiblioteca@ya.ru</w:t>
            </w:r>
          </w:p>
        </w:tc>
      </w:tr>
      <w:tr w:rsidR="00507E26" w:rsidRPr="0097103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8E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8E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Культурно-досуговое учреждение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F8E" w:rsidRPr="009902E1" w:rsidRDefault="00403F8E" w:rsidP="00403F8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Жуковский сельский Дом культуры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централизованная клубная система»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52" w:rsidRDefault="001744EC" w:rsidP="00043B52">
            <w:pPr>
              <w:rPr>
                <w:color w:val="000000"/>
                <w:sz w:val="18"/>
                <w:szCs w:val="18"/>
              </w:rPr>
            </w:pPr>
            <w:r w:rsidRPr="00174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 Тетюшский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  <w:p w:rsidR="00403F8E" w:rsidRPr="00043B52" w:rsidRDefault="00403F8E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8E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8E" w:rsidRPr="009902E1" w:rsidRDefault="00410089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kulturav@mail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7E26" w:rsidRPr="0097103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8E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8E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Культурно-досуговое учреждение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F8E" w:rsidRPr="009902E1" w:rsidRDefault="00403F8E" w:rsidP="00403F8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Кильдюшевский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сельский Дом культуры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централизованная клубная система»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 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71" w:rsidRPr="001744EC" w:rsidRDefault="001744EC" w:rsidP="00E36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 Тетюшский район </w:t>
            </w:r>
            <w:proofErr w:type="spellStart"/>
            <w:r w:rsidR="00E36371" w:rsidRPr="00174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E36371" w:rsidRPr="00174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ильдюшево</w:t>
            </w:r>
            <w:proofErr w:type="spellEnd"/>
            <w:r w:rsid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  <w:r w:rsid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д.22</w:t>
            </w:r>
          </w:p>
          <w:p w:rsidR="00403F8E" w:rsidRPr="00E36371" w:rsidRDefault="00403F8E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8E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8E" w:rsidRPr="009902E1" w:rsidRDefault="00410089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kulturav@mail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7E26" w:rsidRPr="0097103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8E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8E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Библиотека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F8E" w:rsidRPr="009902E1" w:rsidRDefault="00403F8E" w:rsidP="00403F8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Кильдюшевская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 поселенческая библиотека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межпоселенческая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библиотека»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52" w:rsidRPr="001744EC" w:rsidRDefault="00043B52" w:rsidP="0004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4EC">
              <w:rPr>
                <w:rFonts w:ascii="Times New Roman" w:hAnsi="Times New Roman" w:cs="Times New Roman"/>
                <w:sz w:val="24"/>
                <w:szCs w:val="24"/>
              </w:rPr>
              <w:t xml:space="preserve">РТ Тетюшский район, с. </w:t>
            </w:r>
            <w:proofErr w:type="spellStart"/>
            <w:r w:rsidRPr="001744EC">
              <w:rPr>
                <w:rFonts w:ascii="Times New Roman" w:hAnsi="Times New Roman" w:cs="Times New Roman"/>
                <w:sz w:val="24"/>
                <w:szCs w:val="24"/>
              </w:rPr>
              <w:t>Кильдюшево</w:t>
            </w:r>
            <w:proofErr w:type="spellEnd"/>
            <w:r w:rsidRPr="001744EC">
              <w:rPr>
                <w:rFonts w:ascii="Times New Roman" w:hAnsi="Times New Roman" w:cs="Times New Roman"/>
                <w:sz w:val="24"/>
                <w:szCs w:val="24"/>
              </w:rPr>
              <w:t xml:space="preserve">, ул. Куйбышева, д. 21 </w:t>
            </w:r>
          </w:p>
          <w:p w:rsidR="00403F8E" w:rsidRPr="00043B52" w:rsidRDefault="00403F8E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8E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8E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hAnsi="Times New Roman" w:cs="Times New Roman"/>
                <w:sz w:val="24"/>
                <w:szCs w:val="24"/>
              </w:rPr>
              <w:t>tetushibiblioteca@ya.ru</w:t>
            </w:r>
          </w:p>
        </w:tc>
      </w:tr>
      <w:tr w:rsidR="00507E26" w:rsidRPr="0069351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8E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8E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Культурно-досуговое учреждение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F8E" w:rsidRPr="009902E1" w:rsidRDefault="00693511" w:rsidP="00403F8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Монастырский сельский Дом культуры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централизованная клубная система»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F0" w:rsidRDefault="00507E26" w:rsidP="00265EF0">
            <w:pPr>
              <w:rPr>
                <w:color w:val="000000"/>
                <w:sz w:val="18"/>
                <w:szCs w:val="18"/>
              </w:rPr>
            </w:pPr>
            <w:r w:rsidRP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 Тетюшский район </w:t>
            </w:r>
            <w:proofErr w:type="spellStart"/>
            <w:r w:rsidR="00265EF0" w:rsidRP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265EF0" w:rsidRP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265EF0" w:rsidRP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онастырское</w:t>
            </w:r>
            <w:proofErr w:type="spellEnd"/>
            <w:r w:rsidR="00265EF0" w:rsidRP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65EF0" w:rsidRP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="00265EF0" w:rsidRPr="0050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33</w:t>
            </w:r>
          </w:p>
          <w:p w:rsidR="00403F8E" w:rsidRPr="00265EF0" w:rsidRDefault="00403F8E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8E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8E" w:rsidRPr="009902E1" w:rsidRDefault="00410089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kulturav@mail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7E26" w:rsidRPr="0069351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11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11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Библиотека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511" w:rsidRPr="009902E1" w:rsidRDefault="00693511" w:rsidP="00403F8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Монастырская  поселенческая библиотека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межпоселенческая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библиотека»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EC" w:rsidRPr="001744EC" w:rsidRDefault="001744EC" w:rsidP="001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4EC">
              <w:rPr>
                <w:rFonts w:ascii="Times New Roman" w:hAnsi="Times New Roman" w:cs="Times New Roman"/>
                <w:sz w:val="24"/>
                <w:szCs w:val="24"/>
              </w:rPr>
              <w:t xml:space="preserve">РТ Тетюшский район, с. </w:t>
            </w:r>
            <w:proofErr w:type="gramStart"/>
            <w:r w:rsidRPr="001744EC">
              <w:rPr>
                <w:rFonts w:ascii="Times New Roman" w:hAnsi="Times New Roman" w:cs="Times New Roman"/>
                <w:sz w:val="24"/>
                <w:szCs w:val="24"/>
              </w:rPr>
              <w:t>Монастырское</w:t>
            </w:r>
            <w:proofErr w:type="gramEnd"/>
            <w:r w:rsidRPr="001744EC">
              <w:rPr>
                <w:rFonts w:ascii="Times New Roman" w:hAnsi="Times New Roman" w:cs="Times New Roman"/>
                <w:sz w:val="24"/>
                <w:szCs w:val="24"/>
              </w:rPr>
              <w:t xml:space="preserve">, ул. Комсомольская, д. 33 </w:t>
            </w:r>
          </w:p>
          <w:p w:rsidR="00693511" w:rsidRPr="001744EC" w:rsidRDefault="0069351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511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511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hAnsi="Times New Roman" w:cs="Times New Roman"/>
                <w:sz w:val="24"/>
                <w:szCs w:val="24"/>
              </w:rPr>
              <w:t>tetushibiblioteca@ya.ru</w:t>
            </w:r>
          </w:p>
        </w:tc>
      </w:tr>
      <w:tr w:rsidR="00507E26" w:rsidRPr="0069351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11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11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Культурно-досуговое учреждение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511" w:rsidRPr="009902E1" w:rsidRDefault="00693511" w:rsidP="00403F8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Ямбухтинский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 сельский Дом культуры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централизованная клубная система»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71" w:rsidRPr="00043B52" w:rsidRDefault="00043B52" w:rsidP="00043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 Тетюшский район </w:t>
            </w:r>
            <w:proofErr w:type="spellStart"/>
            <w:r w:rsidR="00E36371" w:rsidRPr="0004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E36371" w:rsidRPr="0004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="002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мбухтино</w:t>
            </w:r>
            <w:proofErr w:type="spellEnd"/>
            <w:r w:rsidR="002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="002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д. 20 б</w:t>
            </w:r>
          </w:p>
          <w:p w:rsidR="00693511" w:rsidRPr="00E36371" w:rsidRDefault="0069351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511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511" w:rsidRPr="009902E1" w:rsidRDefault="00410089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kulturav@mail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07E26" w:rsidRPr="00693511" w:rsidTr="00507E26">
        <w:trPr>
          <w:cantSplit/>
          <w:trHeight w:val="8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11" w:rsidRPr="009902E1" w:rsidRDefault="009902E1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11" w:rsidRPr="009902E1" w:rsidRDefault="00410089" w:rsidP="00865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Библиотека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511" w:rsidRPr="009902E1" w:rsidRDefault="00693511" w:rsidP="00403F8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Ямбухтинская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поселенческая библиотека МБУ «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Тетюшская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межпоселенческая</w:t>
            </w:r>
            <w:proofErr w:type="spell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библиотека» Тетюшского </w:t>
            </w:r>
            <w:proofErr w:type="gramStart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9902E1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 xml:space="preserve"> района РТ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EF0" w:rsidRPr="00265EF0" w:rsidRDefault="00265EF0" w:rsidP="00265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2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 Тетюшский район, с. Ямбухтино, ул. </w:t>
            </w:r>
            <w:proofErr w:type="gramStart"/>
            <w:r w:rsidRPr="002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2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25 </w:t>
            </w:r>
          </w:p>
          <w:p w:rsidR="00693511" w:rsidRPr="00265EF0" w:rsidRDefault="0069351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511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511" w:rsidRPr="009902E1" w:rsidRDefault="009902E1" w:rsidP="0086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9902E1">
              <w:rPr>
                <w:rFonts w:ascii="Times New Roman" w:hAnsi="Times New Roman" w:cs="Times New Roman"/>
                <w:sz w:val="24"/>
                <w:szCs w:val="24"/>
              </w:rPr>
              <w:t>tetushibiblioteca@ya.ru</w:t>
            </w:r>
          </w:p>
        </w:tc>
      </w:tr>
    </w:tbl>
    <w:p w:rsidR="00B14B02" w:rsidRPr="00971031" w:rsidRDefault="00B14B02">
      <w:pPr>
        <w:rPr>
          <w:sz w:val="28"/>
          <w:szCs w:val="28"/>
        </w:rPr>
      </w:pPr>
    </w:p>
    <w:p w:rsidR="0018667B" w:rsidRPr="00971031" w:rsidRDefault="0018667B" w:rsidP="0018667B">
      <w:pPr>
        <w:spacing w:after="0" w:line="240" w:lineRule="auto"/>
        <w:rPr>
          <w:rFonts w:ascii="Times New Roman" w:eastAsia="Arial Unicode MS" w:hAnsi="Times New Roman" w:cs="Times New Roman"/>
          <w:lang w:val="ru" w:eastAsia="ru-RU"/>
        </w:rPr>
      </w:pPr>
    </w:p>
    <w:p w:rsidR="003238B2" w:rsidRPr="00971031" w:rsidRDefault="003238B2" w:rsidP="0018667B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38B2" w:rsidRPr="00971031" w:rsidRDefault="003238B2" w:rsidP="0018667B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3238B2" w:rsidRPr="00971031" w:rsidSect="005F0C38">
          <w:head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AD7F29" w:rsidRDefault="0018667B" w:rsidP="00AD7F29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C39E9"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D37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67B" w:rsidRDefault="004C2B0B" w:rsidP="00AD7F29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к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иповому т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ехническому заданию</w:t>
      </w:r>
      <w:r w:rsidRPr="00574A23">
        <w:t xml:space="preserve"> </w:t>
      </w:r>
      <w:r w:rsidRPr="005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услуги по сбору, обобщению и анализу информац</w:t>
      </w:r>
      <w:r w:rsidR="00457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для проведения Общественным С</w:t>
      </w:r>
      <w:r w:rsidRPr="005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</w:t>
      </w:r>
      <w:r w:rsidR="00AD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Тетюшского муниципального района </w:t>
      </w:r>
      <w:r w:rsidR="0045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574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 оказания услуг организациями в 20</w:t>
      </w:r>
      <w:r w:rsidR="00AD7F2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7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F1AF7" w:rsidRPr="00971031" w:rsidRDefault="005F1AF7" w:rsidP="004C2B0B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67B" w:rsidRPr="00971031" w:rsidRDefault="0018667B" w:rsidP="0018667B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b/>
          <w:bCs/>
          <w:sz w:val="28"/>
          <w:szCs w:val="28"/>
          <w:lang w:val="ru" w:eastAsia="ru-RU"/>
        </w:rPr>
        <w:t>Перечень показателей, характеризующих общие критерии оценки качества оказания услуг организациями культуры</w:t>
      </w:r>
    </w:p>
    <w:p w:rsidR="0018667B" w:rsidRPr="00971031" w:rsidRDefault="0018667B">
      <w:pPr>
        <w:rPr>
          <w:i/>
          <w:sz w:val="28"/>
          <w:szCs w:val="28"/>
          <w:lang w:val="ru"/>
        </w:rPr>
      </w:pPr>
    </w:p>
    <w:p w:rsidR="008A6980" w:rsidRPr="00971031" w:rsidRDefault="0096663B" w:rsidP="00C963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"/>
        </w:rPr>
      </w:pP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Заказчиком приводится </w:t>
      </w:r>
      <w:r w:rsidR="008A6980"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перечень </w:t>
      </w:r>
      <w:r w:rsidR="00FC5210" w:rsidRPr="00971031">
        <w:rPr>
          <w:rFonts w:ascii="Times New Roman" w:hAnsi="Times New Roman" w:cs="Times New Roman"/>
          <w:i/>
          <w:sz w:val="28"/>
          <w:szCs w:val="28"/>
          <w:lang w:val="ru"/>
        </w:rPr>
        <w:t>показателей, характеризующих общие критерии оценки качест</w:t>
      </w:r>
      <w:r w:rsidR="008A6980" w:rsidRPr="00971031">
        <w:rPr>
          <w:rFonts w:ascii="Times New Roman" w:hAnsi="Times New Roman" w:cs="Times New Roman"/>
          <w:i/>
          <w:sz w:val="28"/>
          <w:szCs w:val="28"/>
          <w:lang w:val="ru"/>
        </w:rPr>
        <w:t>ва оказания услуг, утвержденные федеральными исполнительными органами государственной власти:</w:t>
      </w:r>
    </w:p>
    <w:p w:rsidR="0018667B" w:rsidRPr="00971031" w:rsidRDefault="008A6980" w:rsidP="00C963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"/>
        </w:rPr>
      </w:pP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для </w:t>
      </w:r>
      <w:r w:rsidR="00C963BA" w:rsidRPr="00971031">
        <w:rPr>
          <w:rFonts w:ascii="Times New Roman" w:hAnsi="Times New Roman" w:cs="Times New Roman"/>
          <w:i/>
          <w:sz w:val="28"/>
          <w:szCs w:val="28"/>
          <w:lang w:val="ru"/>
        </w:rPr>
        <w:t>оценки организаций</w:t>
      </w: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 культуры – </w:t>
      </w:r>
      <w:r w:rsidR="00C963BA"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приказом Минкультуры России от </w:t>
      </w:r>
      <w:r w:rsidR="005F1AF7" w:rsidRPr="00971031">
        <w:rPr>
          <w:rFonts w:ascii="Times New Roman" w:hAnsi="Times New Roman" w:cs="Times New Roman"/>
          <w:i/>
          <w:sz w:val="28"/>
          <w:szCs w:val="28"/>
          <w:lang w:val="ru"/>
        </w:rPr>
        <w:t>25</w:t>
      </w:r>
      <w:r w:rsidR="005F1AF7">
        <w:rPr>
          <w:rFonts w:ascii="Times New Roman" w:hAnsi="Times New Roman" w:cs="Times New Roman"/>
          <w:i/>
          <w:sz w:val="28"/>
          <w:szCs w:val="28"/>
          <w:lang w:val="ru"/>
        </w:rPr>
        <w:t xml:space="preserve"> февраля </w:t>
      </w:r>
      <w:r w:rsidR="00C963BA" w:rsidRPr="00971031">
        <w:rPr>
          <w:rFonts w:ascii="Times New Roman" w:hAnsi="Times New Roman" w:cs="Times New Roman"/>
          <w:i/>
          <w:sz w:val="28"/>
          <w:szCs w:val="28"/>
          <w:lang w:val="ru"/>
        </w:rPr>
        <w:t>2015</w:t>
      </w:r>
      <w:r w:rsidR="005F1AF7">
        <w:rPr>
          <w:rFonts w:ascii="Times New Roman" w:hAnsi="Times New Roman" w:cs="Times New Roman"/>
          <w:i/>
          <w:sz w:val="28"/>
          <w:szCs w:val="28"/>
          <w:lang w:val="ru"/>
        </w:rPr>
        <w:t xml:space="preserve"> г.</w:t>
      </w:r>
      <w:r w:rsidR="00C963BA"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 № 288 «Об утверждении показателей, характеризующих общие критерии оценки качества оказания услуг организациями культуры»;</w:t>
      </w:r>
    </w:p>
    <w:p w:rsidR="008A6980" w:rsidRPr="00971031" w:rsidRDefault="00C963BA" w:rsidP="00C963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"/>
        </w:rPr>
      </w:pP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>для оценки организаций социального обслуживания – п</w:t>
      </w:r>
      <w:r w:rsidR="008A6980" w:rsidRPr="00971031">
        <w:rPr>
          <w:rFonts w:ascii="Times New Roman" w:hAnsi="Times New Roman" w:cs="Times New Roman"/>
          <w:i/>
          <w:sz w:val="28"/>
          <w:szCs w:val="28"/>
          <w:lang w:val="ru"/>
        </w:rPr>
        <w:t>риказ</w:t>
      </w: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ом </w:t>
      </w:r>
      <w:r w:rsidR="005F1AF7">
        <w:rPr>
          <w:rFonts w:ascii="Times New Roman" w:hAnsi="Times New Roman" w:cs="Times New Roman"/>
          <w:i/>
          <w:sz w:val="28"/>
          <w:szCs w:val="28"/>
          <w:lang w:val="ru"/>
        </w:rPr>
        <w:t xml:space="preserve">Минтруда России от </w:t>
      </w:r>
      <w:r w:rsidR="008A6980" w:rsidRPr="00971031">
        <w:rPr>
          <w:rFonts w:ascii="Times New Roman" w:hAnsi="Times New Roman" w:cs="Times New Roman"/>
          <w:i/>
          <w:sz w:val="28"/>
          <w:szCs w:val="28"/>
          <w:lang w:val="ru"/>
        </w:rPr>
        <w:t>8</w:t>
      </w:r>
      <w:r w:rsidR="005F1AF7">
        <w:rPr>
          <w:rFonts w:ascii="Times New Roman" w:hAnsi="Times New Roman" w:cs="Times New Roman"/>
          <w:i/>
          <w:sz w:val="28"/>
          <w:szCs w:val="28"/>
          <w:lang w:val="ru"/>
        </w:rPr>
        <w:t xml:space="preserve"> декабря </w:t>
      </w:r>
      <w:r w:rsidR="008A6980" w:rsidRPr="00971031">
        <w:rPr>
          <w:rFonts w:ascii="Times New Roman" w:hAnsi="Times New Roman" w:cs="Times New Roman"/>
          <w:i/>
          <w:sz w:val="28"/>
          <w:szCs w:val="28"/>
          <w:lang w:val="ru"/>
        </w:rPr>
        <w:t>2014</w:t>
      </w:r>
      <w:r w:rsidR="005F1AF7">
        <w:rPr>
          <w:rFonts w:ascii="Times New Roman" w:hAnsi="Times New Roman" w:cs="Times New Roman"/>
          <w:i/>
          <w:sz w:val="28"/>
          <w:szCs w:val="28"/>
          <w:lang w:val="ru"/>
        </w:rPr>
        <w:t xml:space="preserve"> г.</w:t>
      </w:r>
      <w:r w:rsidR="008A6980"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 </w:t>
      </w: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>№</w:t>
      </w:r>
      <w:r w:rsidR="008A6980"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 995н</w:t>
      </w: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 «</w:t>
      </w:r>
      <w:r w:rsidR="008A6980" w:rsidRPr="00971031">
        <w:rPr>
          <w:rFonts w:ascii="Times New Roman" w:hAnsi="Times New Roman" w:cs="Times New Roman"/>
          <w:i/>
          <w:sz w:val="28"/>
          <w:szCs w:val="28"/>
          <w:lang w:val="ru"/>
        </w:rPr>
        <w:t>Об утверждении показателей, характеризующих общие критерии оценки качества оказания услуг организ</w:t>
      </w: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>ациями социального обслуживания»;</w:t>
      </w:r>
    </w:p>
    <w:p w:rsidR="00C963BA" w:rsidRPr="00971031" w:rsidRDefault="00C963BA" w:rsidP="00C963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"/>
        </w:rPr>
      </w:pP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для оценки образовательных организаций – </w:t>
      </w:r>
      <w:r w:rsidR="005F1AF7">
        <w:rPr>
          <w:rFonts w:ascii="Times New Roman" w:hAnsi="Times New Roman" w:cs="Times New Roman"/>
          <w:i/>
          <w:sz w:val="28"/>
          <w:szCs w:val="28"/>
          <w:lang w:val="ru"/>
        </w:rPr>
        <w:t xml:space="preserve">приказом </w:t>
      </w:r>
      <w:proofErr w:type="spellStart"/>
      <w:r w:rsidR="005F1AF7">
        <w:rPr>
          <w:rFonts w:ascii="Times New Roman" w:hAnsi="Times New Roman" w:cs="Times New Roman"/>
          <w:i/>
          <w:sz w:val="28"/>
          <w:szCs w:val="28"/>
          <w:lang w:val="ru"/>
        </w:rPr>
        <w:t>Минобрнауки</w:t>
      </w:r>
      <w:proofErr w:type="spellEnd"/>
      <w:r w:rsidR="005F1AF7">
        <w:rPr>
          <w:rFonts w:ascii="Times New Roman" w:hAnsi="Times New Roman" w:cs="Times New Roman"/>
          <w:i/>
          <w:sz w:val="28"/>
          <w:szCs w:val="28"/>
          <w:lang w:val="ru"/>
        </w:rPr>
        <w:t xml:space="preserve"> России от 5 декабря </w:t>
      </w: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>2014</w:t>
      </w:r>
      <w:r w:rsidR="005F1AF7">
        <w:rPr>
          <w:rFonts w:ascii="Times New Roman" w:hAnsi="Times New Roman" w:cs="Times New Roman"/>
          <w:i/>
          <w:sz w:val="28"/>
          <w:szCs w:val="28"/>
          <w:lang w:val="ru"/>
        </w:rPr>
        <w:t xml:space="preserve"> г.</w:t>
      </w: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C963BA" w:rsidRPr="00971031" w:rsidRDefault="00C963BA" w:rsidP="00C963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"/>
        </w:rPr>
      </w:pP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для оценки медицинских организаций – </w:t>
      </w:r>
      <w:r w:rsidR="005F1AF7">
        <w:rPr>
          <w:rFonts w:ascii="Times New Roman" w:hAnsi="Times New Roman" w:cs="Times New Roman"/>
          <w:i/>
          <w:sz w:val="28"/>
          <w:szCs w:val="28"/>
          <w:lang w:val="ru"/>
        </w:rPr>
        <w:t xml:space="preserve">приказом Минздрава России от 28 ноября </w:t>
      </w: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>2014</w:t>
      </w:r>
      <w:r w:rsidR="005F1AF7">
        <w:rPr>
          <w:rFonts w:ascii="Times New Roman" w:hAnsi="Times New Roman" w:cs="Times New Roman"/>
          <w:i/>
          <w:sz w:val="28"/>
          <w:szCs w:val="28"/>
          <w:lang w:val="ru"/>
        </w:rPr>
        <w:t xml:space="preserve"> г.</w:t>
      </w: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 № 787н «Об утверждении показателей, характеризующих общие критерии оценки качества оказания услуг медицинскими организациями»;</w:t>
      </w:r>
    </w:p>
    <w:p w:rsidR="00C963BA" w:rsidRPr="00971031" w:rsidRDefault="00FB738A" w:rsidP="00FB73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"/>
        </w:rPr>
      </w:pP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>для оценки организаций в сфере физической культуры и спорта – приказом Минспорта России от 19</w:t>
      </w:r>
      <w:r w:rsidR="005F1AF7">
        <w:rPr>
          <w:rFonts w:ascii="Times New Roman" w:hAnsi="Times New Roman" w:cs="Times New Roman"/>
          <w:i/>
          <w:sz w:val="28"/>
          <w:szCs w:val="28"/>
          <w:lang w:val="ru"/>
        </w:rPr>
        <w:t xml:space="preserve"> марта </w:t>
      </w: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2013 </w:t>
      </w:r>
      <w:r w:rsidR="005F1AF7">
        <w:rPr>
          <w:rFonts w:ascii="Times New Roman" w:hAnsi="Times New Roman" w:cs="Times New Roman"/>
          <w:i/>
          <w:sz w:val="28"/>
          <w:szCs w:val="28"/>
          <w:lang w:val="ru"/>
        </w:rPr>
        <w:t xml:space="preserve">г. </w:t>
      </w: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t xml:space="preserve">№ 121 «О методических рекомендациях </w:t>
      </w:r>
      <w:r w:rsidRPr="00971031">
        <w:rPr>
          <w:rFonts w:ascii="Times New Roman" w:hAnsi="Times New Roman" w:cs="Times New Roman"/>
          <w:i/>
          <w:sz w:val="28"/>
          <w:szCs w:val="28"/>
          <w:lang w:val="ru"/>
        </w:rPr>
        <w:lastRenderedPageBreak/>
        <w:t>по организации независимой системы оценки качества работы организаций, оказывающих социальные услуги в сфере физической культуры и спорта».</w:t>
      </w:r>
    </w:p>
    <w:p w:rsidR="00DC39E9" w:rsidRPr="00971031" w:rsidRDefault="00DC39E9" w:rsidP="00DC39E9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39E9" w:rsidRPr="00971031" w:rsidSect="005F0D98"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5F1AF7" w:rsidRPr="004574DC" w:rsidRDefault="00DC39E9" w:rsidP="005F1AF7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0D3764" w:rsidRPr="004574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AF7" w:rsidRPr="004574DC" w:rsidRDefault="005F1AF7" w:rsidP="0015134B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574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Типовому техническому заданию</w:t>
      </w:r>
      <w:r w:rsidRPr="004574DC">
        <w:rPr>
          <w:rFonts w:ascii="Times New Roman" w:hAnsi="Times New Roman" w:cs="Times New Roman"/>
          <w:sz w:val="28"/>
          <w:szCs w:val="28"/>
        </w:rPr>
        <w:t xml:space="preserve"> </w:t>
      </w:r>
      <w:r w:rsidRPr="00457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услуги по сбору, обобщению и анализу информац</w:t>
      </w:r>
      <w:r w:rsidR="004574DC" w:rsidRPr="0045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для проведения Общественным Советом </w:t>
      </w:r>
      <w:r w:rsidR="00AD7F29" w:rsidRPr="004574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 муниципального района</w:t>
      </w:r>
      <w:r w:rsidR="0015134B" w:rsidRPr="004574DC">
        <w:rPr>
          <w:rFonts w:ascii="Times New Roman" w:hAnsi="Times New Roman" w:cs="Times New Roman"/>
          <w:sz w:val="28"/>
          <w:szCs w:val="28"/>
        </w:rPr>
        <w:t xml:space="preserve">  </w:t>
      </w:r>
      <w:r w:rsidR="004574DC" w:rsidRPr="004574D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457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 оказания услуг организациями в 20</w:t>
      </w:r>
      <w:r w:rsidR="0015134B" w:rsidRPr="004574D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5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DC39E9" w:rsidRPr="00971031" w:rsidRDefault="00DC39E9" w:rsidP="004574D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E9" w:rsidRPr="00971031" w:rsidRDefault="00DC39E9" w:rsidP="00DC39E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b/>
          <w:bCs/>
          <w:sz w:val="28"/>
          <w:szCs w:val="28"/>
          <w:lang w:val="ru" w:eastAsia="ru-RU"/>
        </w:rPr>
        <w:t xml:space="preserve">Перечень показателей, характеризующих </w:t>
      </w:r>
      <w:r w:rsidR="006B56A9" w:rsidRPr="00971031">
        <w:rPr>
          <w:rFonts w:ascii="Times New Roman" w:eastAsia="Arial Unicode MS" w:hAnsi="Times New Roman" w:cs="Times New Roman"/>
          <w:b/>
          <w:bCs/>
          <w:sz w:val="28"/>
          <w:szCs w:val="28"/>
          <w:lang w:val="ru" w:eastAsia="ru-RU"/>
        </w:rPr>
        <w:t xml:space="preserve">дополнительные </w:t>
      </w:r>
      <w:r w:rsidRPr="00971031">
        <w:rPr>
          <w:rFonts w:ascii="Times New Roman" w:eastAsia="Arial Unicode MS" w:hAnsi="Times New Roman" w:cs="Times New Roman"/>
          <w:b/>
          <w:bCs/>
          <w:sz w:val="28"/>
          <w:szCs w:val="28"/>
          <w:lang w:val="ru" w:eastAsia="ru-RU"/>
        </w:rPr>
        <w:t>критерии оценки качества оказания услуг организациями культуры</w:t>
      </w:r>
    </w:p>
    <w:p w:rsidR="00DC39E9" w:rsidRPr="00971031" w:rsidRDefault="00DC39E9" w:rsidP="00FB73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"/>
        </w:rPr>
      </w:pPr>
    </w:p>
    <w:tbl>
      <w:tblPr>
        <w:tblStyle w:val="aa"/>
        <w:tblW w:w="11057" w:type="dxa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2268"/>
        <w:gridCol w:w="1842"/>
        <w:gridCol w:w="1843"/>
      </w:tblGrid>
      <w:tr w:rsidR="0015134B" w:rsidRPr="0015134B" w:rsidTr="00D51055">
        <w:tc>
          <w:tcPr>
            <w:tcW w:w="709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5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 (значение показателя)</w:t>
            </w:r>
          </w:p>
        </w:tc>
        <w:tc>
          <w:tcPr>
            <w:tcW w:w="1842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организаций</w:t>
            </w:r>
          </w:p>
        </w:tc>
        <w:tc>
          <w:tcPr>
            <w:tcW w:w="1843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оценки</w:t>
            </w:r>
          </w:p>
        </w:tc>
      </w:tr>
      <w:tr w:rsidR="0015134B" w:rsidRPr="0015134B" w:rsidTr="00D51055">
        <w:tc>
          <w:tcPr>
            <w:tcW w:w="709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4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 культуры</w:t>
            </w:r>
          </w:p>
        </w:tc>
      </w:tr>
      <w:tr w:rsidR="0015134B" w:rsidRPr="0015134B" w:rsidTr="00D51055">
        <w:tc>
          <w:tcPr>
            <w:tcW w:w="709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4395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Наличие двуязычия в работе по информированию населения об оказываемых услугах, а также английского (при наличии сайта)</w:t>
            </w:r>
          </w:p>
        </w:tc>
        <w:tc>
          <w:tcPr>
            <w:tcW w:w="2268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0 до 5 баллов</w:t>
            </w:r>
          </w:p>
        </w:tc>
        <w:tc>
          <w:tcPr>
            <w:tcW w:w="1842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культурно-досуговые организации</w:t>
            </w:r>
          </w:p>
        </w:tc>
        <w:tc>
          <w:tcPr>
            <w:tcW w:w="1843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изучение мнения получателей услуг</w:t>
            </w:r>
          </w:p>
        </w:tc>
      </w:tr>
      <w:tr w:rsidR="0015134B" w:rsidRPr="0015134B" w:rsidTr="00D51055">
        <w:tc>
          <w:tcPr>
            <w:tcW w:w="709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8" w:type="dxa"/>
            <w:gridSpan w:val="4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</w:tr>
      <w:tr w:rsidR="0015134B" w:rsidRPr="0015134B" w:rsidTr="00D51055">
        <w:tc>
          <w:tcPr>
            <w:tcW w:w="709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2.10</w:t>
            </w:r>
          </w:p>
        </w:tc>
        <w:tc>
          <w:tcPr>
            <w:tcW w:w="4395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Обеспечение безопасности (охрана, пожарная безопасность, медицинское сопровождение, техника безопасности, средства защиты и прочее)</w:t>
            </w:r>
          </w:p>
        </w:tc>
        <w:tc>
          <w:tcPr>
            <w:tcW w:w="2268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0 до 5 баллов</w:t>
            </w:r>
          </w:p>
        </w:tc>
        <w:tc>
          <w:tcPr>
            <w:tcW w:w="1842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1843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изучение мнения получателей услуг</w:t>
            </w:r>
          </w:p>
        </w:tc>
      </w:tr>
      <w:tr w:rsidR="0015134B" w:rsidRPr="0015134B" w:rsidTr="00D51055">
        <w:tc>
          <w:tcPr>
            <w:tcW w:w="709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2.11</w:t>
            </w:r>
          </w:p>
        </w:tc>
        <w:tc>
          <w:tcPr>
            <w:tcW w:w="4395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Доступность оказываемых услуг для людей с ограниченными физическими возможностями (Доступная среда)</w:t>
            </w:r>
          </w:p>
        </w:tc>
        <w:tc>
          <w:tcPr>
            <w:tcW w:w="2268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0 до 5 баллов</w:t>
            </w:r>
          </w:p>
        </w:tc>
        <w:tc>
          <w:tcPr>
            <w:tcW w:w="1842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1843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изучение мнения получателей услуг</w:t>
            </w:r>
          </w:p>
        </w:tc>
      </w:tr>
      <w:tr w:rsidR="0015134B" w:rsidRPr="0015134B" w:rsidTr="00D51055">
        <w:tc>
          <w:tcPr>
            <w:tcW w:w="709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2.12</w:t>
            </w:r>
          </w:p>
        </w:tc>
        <w:tc>
          <w:tcPr>
            <w:tcW w:w="4395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Наличие и уровень качества дополнительных услуг (туалеты, буфеты, гардеробы, продажа профильной литературы и дисков и т.п.)</w:t>
            </w:r>
          </w:p>
        </w:tc>
        <w:tc>
          <w:tcPr>
            <w:tcW w:w="2268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0 до 5 баллов</w:t>
            </w:r>
          </w:p>
        </w:tc>
        <w:tc>
          <w:tcPr>
            <w:tcW w:w="1842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1843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изучение мнения получателей услуг</w:t>
            </w:r>
          </w:p>
        </w:tc>
      </w:tr>
      <w:tr w:rsidR="0015134B" w:rsidRPr="0015134B" w:rsidTr="00D51055">
        <w:tc>
          <w:tcPr>
            <w:tcW w:w="709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2.13</w:t>
            </w:r>
          </w:p>
        </w:tc>
        <w:tc>
          <w:tcPr>
            <w:tcW w:w="4395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Обеспечение представлений (а также – афиш, пригласительных билетов и т.п.) переводом на русский, татарский языки</w:t>
            </w:r>
          </w:p>
        </w:tc>
        <w:tc>
          <w:tcPr>
            <w:tcW w:w="2268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0 до 5 баллов</w:t>
            </w:r>
          </w:p>
        </w:tc>
        <w:tc>
          <w:tcPr>
            <w:tcW w:w="1842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1843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изучение мнения получателей услуг</w:t>
            </w:r>
          </w:p>
        </w:tc>
      </w:tr>
      <w:tr w:rsidR="0015134B" w:rsidRPr="0015134B" w:rsidTr="00D51055">
        <w:tc>
          <w:tcPr>
            <w:tcW w:w="709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2.14</w:t>
            </w:r>
          </w:p>
        </w:tc>
        <w:tc>
          <w:tcPr>
            <w:tcW w:w="4395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Материально-техническое обеспечение организации культуры</w:t>
            </w:r>
          </w:p>
        </w:tc>
        <w:tc>
          <w:tcPr>
            <w:tcW w:w="2268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0 до 6 баллов</w:t>
            </w:r>
          </w:p>
        </w:tc>
        <w:tc>
          <w:tcPr>
            <w:tcW w:w="1842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1843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изучение мнения получателей услуг</w:t>
            </w:r>
          </w:p>
        </w:tc>
      </w:tr>
      <w:tr w:rsidR="0015134B" w:rsidRPr="0015134B" w:rsidTr="00D51055">
        <w:tc>
          <w:tcPr>
            <w:tcW w:w="709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4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15134B" w:rsidRPr="0015134B" w:rsidTr="00D51055">
        <w:tc>
          <w:tcPr>
            <w:tcW w:w="709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4.3</w:t>
            </w:r>
          </w:p>
        </w:tc>
        <w:tc>
          <w:tcPr>
            <w:tcW w:w="4395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Культура речи работников учреждения, этика в общении с </w:t>
            </w:r>
            <w:r w:rsidRPr="0015134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потребителями услуг</w:t>
            </w:r>
          </w:p>
        </w:tc>
        <w:tc>
          <w:tcPr>
            <w:tcW w:w="2268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от 0 до 8 баллов</w:t>
            </w:r>
          </w:p>
        </w:tc>
        <w:tc>
          <w:tcPr>
            <w:tcW w:w="1842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все организации </w:t>
            </w: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843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изучение мнения </w:t>
            </w: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получателей услуг</w:t>
            </w:r>
          </w:p>
        </w:tc>
      </w:tr>
      <w:tr w:rsidR="0015134B" w:rsidRPr="0015134B" w:rsidTr="00D51055">
        <w:tc>
          <w:tcPr>
            <w:tcW w:w="709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395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Владение персонала, сотрудников русским и татарским языками</w:t>
            </w:r>
          </w:p>
        </w:tc>
        <w:tc>
          <w:tcPr>
            <w:tcW w:w="2268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0 до 8 баллов</w:t>
            </w:r>
          </w:p>
        </w:tc>
        <w:tc>
          <w:tcPr>
            <w:tcW w:w="1842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1843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изучение мнения получателей услуг</w:t>
            </w:r>
          </w:p>
        </w:tc>
      </w:tr>
      <w:tr w:rsidR="0015134B" w:rsidRPr="0015134B" w:rsidTr="00D51055">
        <w:tc>
          <w:tcPr>
            <w:tcW w:w="709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48" w:type="dxa"/>
            <w:gridSpan w:val="4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Удовлетворенность качеством оказания услуг</w:t>
            </w:r>
          </w:p>
        </w:tc>
      </w:tr>
      <w:tr w:rsidR="0015134B" w:rsidRPr="0015134B" w:rsidTr="00D51055">
        <w:tc>
          <w:tcPr>
            <w:tcW w:w="709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5.8</w:t>
            </w:r>
          </w:p>
        </w:tc>
        <w:tc>
          <w:tcPr>
            <w:tcW w:w="4395" w:type="dxa"/>
          </w:tcPr>
          <w:p w:rsidR="0015134B" w:rsidRPr="0015134B" w:rsidRDefault="0015134B" w:rsidP="0015134B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Количество обращения с жалобами, благодарностями от потребителей услуг по поводу непосредственного общения с сотрудниками учреждения</w:t>
            </w:r>
          </w:p>
        </w:tc>
        <w:tc>
          <w:tcPr>
            <w:tcW w:w="2268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0 до 8 баллов</w:t>
            </w:r>
          </w:p>
        </w:tc>
        <w:tc>
          <w:tcPr>
            <w:tcW w:w="1842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1843" w:type="dxa"/>
          </w:tcPr>
          <w:p w:rsidR="0015134B" w:rsidRPr="0015134B" w:rsidRDefault="0015134B" w:rsidP="001513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13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изучение мнения получателей услуг</w:t>
            </w:r>
          </w:p>
        </w:tc>
      </w:tr>
    </w:tbl>
    <w:p w:rsidR="00DC39E9" w:rsidRDefault="00DC39E9" w:rsidP="00FB73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"/>
        </w:rPr>
      </w:pPr>
    </w:p>
    <w:p w:rsidR="008F401E" w:rsidRDefault="008F401E" w:rsidP="00FB73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"/>
        </w:rPr>
      </w:pPr>
    </w:p>
    <w:p w:rsidR="000D3764" w:rsidRDefault="000D3764" w:rsidP="000D3764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3764" w:rsidSect="005F0C38">
          <w:headerReference w:type="default" r:id="rId11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2B7446" w:rsidRDefault="000D3764" w:rsidP="002B7446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764" w:rsidRPr="00971031" w:rsidRDefault="002B7446" w:rsidP="00D51055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4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Типовому техническому заданию на оказание услуги по сбору, обобщению и анализу информац</w:t>
      </w:r>
      <w:r w:rsidR="0045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для проведения Общественным Советом </w:t>
      </w:r>
      <w:r w:rsid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Тетюшского муниципального района </w:t>
      </w:r>
      <w:r w:rsidR="0045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bookmarkStart w:id="0" w:name="_GoBack"/>
      <w:bookmarkEnd w:id="0"/>
      <w:r w:rsidRPr="002B7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 оказания услуг организациями в 20</w:t>
      </w:r>
      <w:r w:rsid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B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0D3764" w:rsidRPr="00971031" w:rsidRDefault="000D3764" w:rsidP="000D3764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D3764" w:rsidRPr="00971031" w:rsidRDefault="000D3764" w:rsidP="000D37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</w:pPr>
      <w:r w:rsidRPr="00971031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>Перечень нормативных правовых актов федеральных исполнительных органов государственной власти, используемых при осуществлении независимой оценки качества оказания услуг</w:t>
      </w:r>
    </w:p>
    <w:p w:rsidR="000D3764" w:rsidRPr="00971031" w:rsidRDefault="000D3764" w:rsidP="000D3764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</w:pPr>
    </w:p>
    <w:p w:rsidR="000D3764" w:rsidRPr="00971031" w:rsidRDefault="000D3764" w:rsidP="000D3764">
      <w:pPr>
        <w:widowControl w:val="0"/>
        <w:numPr>
          <w:ilvl w:val="0"/>
          <w:numId w:val="7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Минкультуры России от 20</w:t>
      </w:r>
      <w:r w:rsidR="005F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5F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277 «Об утверждении требований к содержанию и форме информации о деятельности организаций культуры, размещаемой на официальных сайтах организаций культуры, органов местного самоуправления, органов государственной власти субъектов Российской Федерации, уполномоченного федерального органа исполнит</w:t>
      </w:r>
      <w:r w:rsidR="007806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власти в сети «Интернет».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764" w:rsidRDefault="000D3764" w:rsidP="000D3764">
      <w:pPr>
        <w:widowControl w:val="0"/>
        <w:numPr>
          <w:ilvl w:val="0"/>
          <w:numId w:val="7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Минздрава России от 30</w:t>
      </w:r>
      <w:r w:rsidR="005F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5F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</w:t>
      </w:r>
      <w:r w:rsidR="00780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D3764" w:rsidRPr="00C576F3" w:rsidRDefault="000D3764" w:rsidP="000D3764">
      <w:pPr>
        <w:widowControl w:val="0"/>
        <w:numPr>
          <w:ilvl w:val="0"/>
          <w:numId w:val="7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России от 17</w:t>
      </w:r>
      <w:r w:rsidR="005F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C576F3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5F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5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предоставления)»</w:t>
      </w:r>
      <w:r w:rsidR="00780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764" w:rsidRPr="00971031" w:rsidRDefault="000D3764" w:rsidP="000D3764">
      <w:pPr>
        <w:widowControl w:val="0"/>
        <w:numPr>
          <w:ilvl w:val="0"/>
          <w:numId w:val="7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Минтруда России от 30</w:t>
      </w:r>
      <w:r w:rsidR="005F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="005F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391а «О методических рекомендациях по проведению независимой оценки качества работы организаций, оказывающих социальные услуги в сфере социального обслуживания»</w:t>
      </w:r>
      <w:r w:rsidR="00780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764" w:rsidRPr="00971031" w:rsidRDefault="000D3764" w:rsidP="000D3764">
      <w:pPr>
        <w:widowControl w:val="0"/>
        <w:numPr>
          <w:ilvl w:val="0"/>
          <w:numId w:val="7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Минспорта России от 19</w:t>
      </w:r>
      <w:r w:rsidR="0051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51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121 «О методических рекомендациях по организации независимой системы оценки качества работы организаций, оказывающих социальные услуги в сфере физической культуры и спорта»</w:t>
      </w:r>
      <w:r w:rsidR="00780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764" w:rsidRPr="00971031" w:rsidRDefault="000D3764" w:rsidP="000D3764">
      <w:pPr>
        <w:widowControl w:val="0"/>
        <w:numPr>
          <w:ilvl w:val="0"/>
          <w:numId w:val="7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</w:t>
      </w:r>
      <w:r w:rsidR="0051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51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462 «Об утверждении Порядка проведения </w:t>
      </w:r>
      <w:proofErr w:type="spellStart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организацией»</w:t>
      </w:r>
      <w:r w:rsidR="00780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764" w:rsidRPr="00971031" w:rsidRDefault="000D3764" w:rsidP="000D3764">
      <w:pPr>
        <w:widowControl w:val="0"/>
        <w:numPr>
          <w:ilvl w:val="0"/>
          <w:numId w:val="7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10</w:t>
      </w:r>
      <w:r w:rsidR="0051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="0051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1324 «Об утверждении показателей деятельности образовательной организации, подлежащей </w:t>
      </w:r>
      <w:proofErr w:type="spellStart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0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764" w:rsidRPr="00971031" w:rsidRDefault="000D3764" w:rsidP="000D3764">
      <w:pPr>
        <w:widowControl w:val="0"/>
        <w:numPr>
          <w:ilvl w:val="0"/>
          <w:numId w:val="7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Минкультуры России от 30</w:t>
      </w:r>
      <w:r w:rsidR="0051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51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1505 «О методических рекомендациях по формированию независимой системы оценки качества работы государственных (муниципальных) учреждений, оказывающих социальные услуги в сфере культуры»</w:t>
      </w:r>
      <w:r w:rsidR="00780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764" w:rsidRPr="00971031" w:rsidRDefault="000D3764" w:rsidP="000D3764">
      <w:pPr>
        <w:widowControl w:val="0"/>
        <w:numPr>
          <w:ilvl w:val="0"/>
          <w:numId w:val="7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Минздрава России от 31</w:t>
      </w:r>
      <w:r w:rsidR="0051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51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810а «Об организации работы по формированию независимой системы оценки качества работы государственных (муниципальных) учреждений, оказывающих услуги в сфере здравоохранения»</w:t>
      </w:r>
      <w:r w:rsidR="00780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764" w:rsidRPr="00971031" w:rsidRDefault="000D3764" w:rsidP="000D3764">
      <w:pPr>
        <w:widowControl w:val="0"/>
        <w:numPr>
          <w:ilvl w:val="0"/>
          <w:numId w:val="7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</w:t>
      </w:r>
      <w:r w:rsidR="0051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51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АП-1994/02 «О методических рекомендациях по внедрению НСОКО» (вместе с «Методическими рекомендациями по проведению независимой </w:t>
      </w:r>
      <w:proofErr w:type="gramStart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оценки качества работы образовательных организаций</w:t>
      </w:r>
      <w:proofErr w:type="gramEnd"/>
      <w:r w:rsidRPr="00971031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780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D3764" w:rsidRPr="00971031" w:rsidSect="005F0D98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E1" w:rsidRDefault="009321E1" w:rsidP="0032160B">
      <w:pPr>
        <w:spacing w:after="0" w:line="240" w:lineRule="auto"/>
      </w:pPr>
      <w:r>
        <w:separator/>
      </w:r>
    </w:p>
  </w:endnote>
  <w:endnote w:type="continuationSeparator" w:id="0">
    <w:p w:rsidR="009321E1" w:rsidRDefault="009321E1" w:rsidP="0032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E1" w:rsidRDefault="009321E1" w:rsidP="0032160B">
      <w:pPr>
        <w:spacing w:after="0" w:line="240" w:lineRule="auto"/>
      </w:pPr>
      <w:r>
        <w:separator/>
      </w:r>
    </w:p>
  </w:footnote>
  <w:footnote w:type="continuationSeparator" w:id="0">
    <w:p w:rsidR="009321E1" w:rsidRDefault="009321E1" w:rsidP="0032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330859"/>
      <w:docPartObj>
        <w:docPartGallery w:val="Page Numbers (Top of Page)"/>
        <w:docPartUnique/>
      </w:docPartObj>
    </w:sdtPr>
    <w:sdtEndPr/>
    <w:sdtContent>
      <w:p w:rsidR="0032160B" w:rsidRDefault="003216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4DC">
          <w:rPr>
            <w:noProof/>
          </w:rPr>
          <w:t>14</w:t>
        </w:r>
        <w:r>
          <w:fldChar w:fldCharType="end"/>
        </w:r>
      </w:p>
    </w:sdtContent>
  </w:sdt>
  <w:p w:rsidR="0032160B" w:rsidRDefault="00321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123133"/>
      <w:docPartObj>
        <w:docPartGallery w:val="Page Numbers (Top of Page)"/>
        <w:docPartUnique/>
      </w:docPartObj>
    </w:sdtPr>
    <w:sdtEndPr/>
    <w:sdtContent>
      <w:p w:rsidR="000D3764" w:rsidRDefault="000D37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57B">
          <w:rPr>
            <w:noProof/>
          </w:rPr>
          <w:t>18</w:t>
        </w:r>
        <w:r>
          <w:fldChar w:fldCharType="end"/>
        </w:r>
      </w:p>
    </w:sdtContent>
  </w:sdt>
  <w:p w:rsidR="000D3764" w:rsidRDefault="000D37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1A2"/>
    <w:multiLevelType w:val="hybridMultilevel"/>
    <w:tmpl w:val="46605672"/>
    <w:lvl w:ilvl="0" w:tplc="C9185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241BE"/>
    <w:multiLevelType w:val="multilevel"/>
    <w:tmpl w:val="D50825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2521E9"/>
    <w:multiLevelType w:val="hybridMultilevel"/>
    <w:tmpl w:val="5AA014EE"/>
    <w:lvl w:ilvl="0" w:tplc="8FE01B5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D8B089C"/>
    <w:multiLevelType w:val="hybridMultilevel"/>
    <w:tmpl w:val="E280D6D6"/>
    <w:lvl w:ilvl="0" w:tplc="E9B46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721AFA"/>
    <w:multiLevelType w:val="multilevel"/>
    <w:tmpl w:val="7ABCE9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5">
    <w:nsid w:val="27A104EE"/>
    <w:multiLevelType w:val="multilevel"/>
    <w:tmpl w:val="74FC7EF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6">
    <w:nsid w:val="63EB0218"/>
    <w:multiLevelType w:val="multilevel"/>
    <w:tmpl w:val="D50825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59824C6"/>
    <w:multiLevelType w:val="hybridMultilevel"/>
    <w:tmpl w:val="D744D9E6"/>
    <w:lvl w:ilvl="0" w:tplc="C9DC9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32CEC"/>
    <w:multiLevelType w:val="hybridMultilevel"/>
    <w:tmpl w:val="FD86AE64"/>
    <w:lvl w:ilvl="0" w:tplc="A962A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02"/>
    <w:rsid w:val="00024E81"/>
    <w:rsid w:val="00043B52"/>
    <w:rsid w:val="00044B81"/>
    <w:rsid w:val="0008357B"/>
    <w:rsid w:val="00083E23"/>
    <w:rsid w:val="000B4675"/>
    <w:rsid w:val="000C511D"/>
    <w:rsid w:val="000D3764"/>
    <w:rsid w:val="000E275A"/>
    <w:rsid w:val="000F52DF"/>
    <w:rsid w:val="00100F8E"/>
    <w:rsid w:val="001147DC"/>
    <w:rsid w:val="0015134B"/>
    <w:rsid w:val="001744EC"/>
    <w:rsid w:val="001751C0"/>
    <w:rsid w:val="0018667B"/>
    <w:rsid w:val="001B21AF"/>
    <w:rsid w:val="001C148E"/>
    <w:rsid w:val="001C6571"/>
    <w:rsid w:val="001E0505"/>
    <w:rsid w:val="001F50FB"/>
    <w:rsid w:val="002065AE"/>
    <w:rsid w:val="002120E3"/>
    <w:rsid w:val="00216A9E"/>
    <w:rsid w:val="00264DA7"/>
    <w:rsid w:val="00265EF0"/>
    <w:rsid w:val="00282CE0"/>
    <w:rsid w:val="00291FD6"/>
    <w:rsid w:val="00297948"/>
    <w:rsid w:val="002A17E5"/>
    <w:rsid w:val="002B7446"/>
    <w:rsid w:val="002E5864"/>
    <w:rsid w:val="002F2F74"/>
    <w:rsid w:val="002F58B1"/>
    <w:rsid w:val="002F5BC2"/>
    <w:rsid w:val="003170E4"/>
    <w:rsid w:val="0032160B"/>
    <w:rsid w:val="003238B2"/>
    <w:rsid w:val="00330FB3"/>
    <w:rsid w:val="00334224"/>
    <w:rsid w:val="00343956"/>
    <w:rsid w:val="00350A5E"/>
    <w:rsid w:val="003647FA"/>
    <w:rsid w:val="00380E82"/>
    <w:rsid w:val="00383819"/>
    <w:rsid w:val="003839E8"/>
    <w:rsid w:val="0038787A"/>
    <w:rsid w:val="003907FC"/>
    <w:rsid w:val="003976A4"/>
    <w:rsid w:val="003D267F"/>
    <w:rsid w:val="00403F8E"/>
    <w:rsid w:val="00410089"/>
    <w:rsid w:val="004414F8"/>
    <w:rsid w:val="004574DC"/>
    <w:rsid w:val="004602FD"/>
    <w:rsid w:val="004678D0"/>
    <w:rsid w:val="00472895"/>
    <w:rsid w:val="00495009"/>
    <w:rsid w:val="004B39F8"/>
    <w:rsid w:val="004C2B0B"/>
    <w:rsid w:val="004E17EA"/>
    <w:rsid w:val="004E3EB8"/>
    <w:rsid w:val="004F24DD"/>
    <w:rsid w:val="00507E26"/>
    <w:rsid w:val="005144EE"/>
    <w:rsid w:val="005233E6"/>
    <w:rsid w:val="00530206"/>
    <w:rsid w:val="0053597E"/>
    <w:rsid w:val="005448AA"/>
    <w:rsid w:val="00557C03"/>
    <w:rsid w:val="00574A12"/>
    <w:rsid w:val="00574A23"/>
    <w:rsid w:val="00576FF3"/>
    <w:rsid w:val="00584376"/>
    <w:rsid w:val="005B0FCD"/>
    <w:rsid w:val="005B3E4E"/>
    <w:rsid w:val="005F0C38"/>
    <w:rsid w:val="005F0D98"/>
    <w:rsid w:val="005F1AF7"/>
    <w:rsid w:val="00601417"/>
    <w:rsid w:val="006169D0"/>
    <w:rsid w:val="00624593"/>
    <w:rsid w:val="006547A3"/>
    <w:rsid w:val="0066602E"/>
    <w:rsid w:val="00670F08"/>
    <w:rsid w:val="0067344A"/>
    <w:rsid w:val="00693511"/>
    <w:rsid w:val="006B56A9"/>
    <w:rsid w:val="006E5CF7"/>
    <w:rsid w:val="006F3E76"/>
    <w:rsid w:val="00702C71"/>
    <w:rsid w:val="0072262E"/>
    <w:rsid w:val="00735BD5"/>
    <w:rsid w:val="00740F53"/>
    <w:rsid w:val="00761761"/>
    <w:rsid w:val="0076263E"/>
    <w:rsid w:val="00776DA5"/>
    <w:rsid w:val="007806E4"/>
    <w:rsid w:val="007950AF"/>
    <w:rsid w:val="007C4F8E"/>
    <w:rsid w:val="007E4881"/>
    <w:rsid w:val="007F32F3"/>
    <w:rsid w:val="007F586D"/>
    <w:rsid w:val="007F6E4E"/>
    <w:rsid w:val="00807C51"/>
    <w:rsid w:val="0081630E"/>
    <w:rsid w:val="008550B6"/>
    <w:rsid w:val="008608D5"/>
    <w:rsid w:val="008651B2"/>
    <w:rsid w:val="008679CC"/>
    <w:rsid w:val="00881FB1"/>
    <w:rsid w:val="00884D5F"/>
    <w:rsid w:val="008914D8"/>
    <w:rsid w:val="008933F6"/>
    <w:rsid w:val="008A6980"/>
    <w:rsid w:val="008B5EFF"/>
    <w:rsid w:val="008C00C0"/>
    <w:rsid w:val="008D36BD"/>
    <w:rsid w:val="008F401E"/>
    <w:rsid w:val="009311A5"/>
    <w:rsid w:val="009321E1"/>
    <w:rsid w:val="0096663B"/>
    <w:rsid w:val="00971031"/>
    <w:rsid w:val="009902E1"/>
    <w:rsid w:val="009A772A"/>
    <w:rsid w:val="009B14F6"/>
    <w:rsid w:val="009F312D"/>
    <w:rsid w:val="00A00321"/>
    <w:rsid w:val="00A006B3"/>
    <w:rsid w:val="00A06CBC"/>
    <w:rsid w:val="00A0783C"/>
    <w:rsid w:val="00A13B34"/>
    <w:rsid w:val="00A22D8D"/>
    <w:rsid w:val="00A42252"/>
    <w:rsid w:val="00A935D2"/>
    <w:rsid w:val="00A97A90"/>
    <w:rsid w:val="00AB2C30"/>
    <w:rsid w:val="00AB7622"/>
    <w:rsid w:val="00AD7F29"/>
    <w:rsid w:val="00AF31D9"/>
    <w:rsid w:val="00B04874"/>
    <w:rsid w:val="00B11457"/>
    <w:rsid w:val="00B14B02"/>
    <w:rsid w:val="00B1734B"/>
    <w:rsid w:val="00B423B9"/>
    <w:rsid w:val="00B703EB"/>
    <w:rsid w:val="00B758CC"/>
    <w:rsid w:val="00B7628C"/>
    <w:rsid w:val="00B77804"/>
    <w:rsid w:val="00B82949"/>
    <w:rsid w:val="00BC5C67"/>
    <w:rsid w:val="00BD20AA"/>
    <w:rsid w:val="00C37264"/>
    <w:rsid w:val="00C400C4"/>
    <w:rsid w:val="00C4492C"/>
    <w:rsid w:val="00C452E5"/>
    <w:rsid w:val="00C45437"/>
    <w:rsid w:val="00C5039C"/>
    <w:rsid w:val="00C537EA"/>
    <w:rsid w:val="00C576F3"/>
    <w:rsid w:val="00C65DFD"/>
    <w:rsid w:val="00C8044C"/>
    <w:rsid w:val="00C963BA"/>
    <w:rsid w:val="00CC5CA9"/>
    <w:rsid w:val="00CD00E7"/>
    <w:rsid w:val="00CD6604"/>
    <w:rsid w:val="00CE173B"/>
    <w:rsid w:val="00D12AF0"/>
    <w:rsid w:val="00D230A4"/>
    <w:rsid w:val="00D272CF"/>
    <w:rsid w:val="00D34CBB"/>
    <w:rsid w:val="00D34D10"/>
    <w:rsid w:val="00D51055"/>
    <w:rsid w:val="00D556F2"/>
    <w:rsid w:val="00D57E3C"/>
    <w:rsid w:val="00D67880"/>
    <w:rsid w:val="00D80B75"/>
    <w:rsid w:val="00DB0CA0"/>
    <w:rsid w:val="00DB40C8"/>
    <w:rsid w:val="00DB7CE4"/>
    <w:rsid w:val="00DC39E9"/>
    <w:rsid w:val="00DF6D87"/>
    <w:rsid w:val="00E04246"/>
    <w:rsid w:val="00E056DD"/>
    <w:rsid w:val="00E36371"/>
    <w:rsid w:val="00E4731F"/>
    <w:rsid w:val="00E5539B"/>
    <w:rsid w:val="00E66E84"/>
    <w:rsid w:val="00E9173C"/>
    <w:rsid w:val="00EA7707"/>
    <w:rsid w:val="00EB44A6"/>
    <w:rsid w:val="00EB64BA"/>
    <w:rsid w:val="00EC16CD"/>
    <w:rsid w:val="00F24438"/>
    <w:rsid w:val="00F27AC9"/>
    <w:rsid w:val="00F27D1A"/>
    <w:rsid w:val="00F45010"/>
    <w:rsid w:val="00F57338"/>
    <w:rsid w:val="00F60899"/>
    <w:rsid w:val="00F84436"/>
    <w:rsid w:val="00FB1AE5"/>
    <w:rsid w:val="00FB738A"/>
    <w:rsid w:val="00FC1E4D"/>
    <w:rsid w:val="00FC5210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60B"/>
  </w:style>
  <w:style w:type="paragraph" w:styleId="a5">
    <w:name w:val="footer"/>
    <w:basedOn w:val="a"/>
    <w:link w:val="a6"/>
    <w:uiPriority w:val="99"/>
    <w:unhideWhenUsed/>
    <w:rsid w:val="0032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60B"/>
  </w:style>
  <w:style w:type="paragraph" w:styleId="a7">
    <w:name w:val="List Paragraph"/>
    <w:basedOn w:val="a"/>
    <w:uiPriority w:val="34"/>
    <w:qFormat/>
    <w:rsid w:val="00F244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2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289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51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60B"/>
  </w:style>
  <w:style w:type="paragraph" w:styleId="a5">
    <w:name w:val="footer"/>
    <w:basedOn w:val="a"/>
    <w:link w:val="a6"/>
    <w:uiPriority w:val="99"/>
    <w:unhideWhenUsed/>
    <w:rsid w:val="0032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60B"/>
  </w:style>
  <w:style w:type="paragraph" w:styleId="a7">
    <w:name w:val="List Paragraph"/>
    <w:basedOn w:val="a"/>
    <w:uiPriority w:val="34"/>
    <w:qFormat/>
    <w:rsid w:val="00F244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2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289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51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B2D6-B613-44F3-A38F-3D2A837D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Ландыш Азатовна</dc:creator>
  <cp:lastModifiedBy>user</cp:lastModifiedBy>
  <cp:revision>6</cp:revision>
  <cp:lastPrinted>2016-11-09T11:25:00Z</cp:lastPrinted>
  <dcterms:created xsi:type="dcterms:W3CDTF">2016-11-07T10:35:00Z</dcterms:created>
  <dcterms:modified xsi:type="dcterms:W3CDTF">2016-11-09T11:26:00Z</dcterms:modified>
</cp:coreProperties>
</file>